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4E79"/>
          <w:sz w:val="48"/>
          <w:szCs w:val="48"/>
        </w:rPr>
        <w:t xml:space="preserve">FuelSphere</w:t>
      </w:r>
    </w:p>
    <w:p>
      <w:pPr>
        <w:spacing w:after="200"/>
        <w:jc w:val="center"/>
      </w:pPr>
      <w:r>
        <w:rPr>
          <w:rFonts w:ascii="Arial" w:cs="Arial" w:eastAsia="Arial" w:hAnsi="Arial"/>
          <w:color w:val="666666"/>
          <w:sz w:val="28"/>
          <w:szCs w:val="28"/>
        </w:rPr>
        <w:t xml:space="preserve">Airline Fuel Lifecycle Management Solution</w:t>
      </w:r>
    </w:p>
    <w:p>
      <w:pPr>
        <w:spacing w:after="400"/>
      </w:pPr>
    </w:p>
    <w:p>
      <w:pPr>
        <w:spacing w:after="200"/>
        <w:jc w:val="center"/>
      </w:pPr>
      <w:r>
        <w:rPr>
          <w:rFonts w:ascii="Arial" w:cs="Arial" w:eastAsia="Arial" w:hAnsi="Arial"/>
          <w:b/>
          <w:bCs/>
          <w:color w:val="1F4E79"/>
          <w:sz w:val="48"/>
          <w:szCs w:val="48"/>
        </w:rPr>
        <w:t xml:space="preserve">Security &amp; Authorization Specification</w:t>
      </w:r>
    </w:p>
    <w:p>
      <w:pPr>
        <w:spacing w:after="200"/>
        <w:jc w:val="center"/>
      </w:pPr>
      <w:r>
        <w:rPr>
          <w:rFonts w:ascii="Arial" w:cs="Arial" w:eastAsia="Arial" w:hAnsi="Arial"/>
          <w:color w:val="666666"/>
          <w:sz w:val="28"/>
          <w:szCs w:val="28"/>
        </w:rPr>
        <w:t xml:space="preserve">Foundation Document</w:t>
      </w:r>
    </w:p>
    <w:p>
      <w:pPr>
        <w:spacing w:after="200"/>
      </w:pPr>
    </w:p>
    <w:p>
      <w:pPr>
        <w:spacing w:after="200"/>
        <w:jc w:val="center"/>
      </w:pPr>
      <w:r>
        <w:rPr>
          <w:rFonts w:ascii="Arial" w:cs="Arial" w:eastAsia="Arial" w:hAnsi="Arial"/>
          <w:color w:val="666666"/>
          <w:sz w:val="28"/>
          <w:szCs w:val="28"/>
        </w:rPr>
        <w:t xml:space="preserve">Supports: S/4HANA Public Cloud | S/4HANA RISE | S/4HANA On-Premise</w:t>
      </w:r>
    </w:p>
    <w:p>
      <w:pPr>
        <w:spacing w:after="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Document ID</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FS-FND-003</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Version</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2.1</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Date</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January 2026</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Author</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Security Architect (AI-Assisted)</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Draft</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Classification</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Confidential</w:t>
            </w:r>
          </w:p>
        </w:tc>
      </w:tr>
    </w:tbl>
    <w:p>
      <w:pPr>
        <w:spacing w:after="200"/>
      </w:pPr>
    </w:p>
    <w:p>
      <w:pPr>
        <w:jc w:val="center"/>
      </w:pPr>
      <w:r>
        <w:rPr>
          <w:rFonts w:ascii="Arial" w:cs="Arial" w:eastAsia="Arial" w:hAnsi="Arial"/>
          <w:sz w:val="24"/>
          <w:szCs w:val="24"/>
        </w:rPr>
        <w:t xml:space="preserve">Prepared by Diligent Global</w:t>
      </w:r>
    </w:p>
    <w:p>
      <w:r>
        <w:br w:type="page"/>
      </w:r>
    </w:p>
    <w:p>
      <w:pPr>
        <w:pStyle w:val="Heading1"/>
        <w:spacing w:before="300" w:after="200"/>
      </w:pPr>
      <w:r>
        <w:rPr>
          <w:rFonts w:ascii="Arial" w:cs="Arial" w:eastAsia="Arial" w:hAnsi="Arial"/>
          <w:b/>
          <w:bCs/>
          <w:color w:val="1F4E79"/>
          <w:sz w:val="32"/>
          <w:szCs w:val="32"/>
        </w:rPr>
        <w:t xml:space="preserve">1. Document Control</w:t>
      </w:r>
    </w:p>
    <w:p>
      <w:pPr>
        <w:pStyle w:val="Heading2"/>
        <w:spacing w:before="240" w:after="160"/>
      </w:pPr>
      <w:r>
        <w:rPr>
          <w:rFonts w:ascii="Arial" w:cs="Arial" w:eastAsia="Arial" w:hAnsi="Arial"/>
          <w:b/>
          <w:bCs/>
          <w:color w:val="1F4E79"/>
          <w:sz w:val="26"/>
          <w:szCs w:val="26"/>
        </w:rPr>
        <w:t xml:space="preserve">1.1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800"/>
        <w:gridCol w:w="5360"/>
      </w:tblGrid>
      <w:tr>
        <w:trPr>
          <w:tblHeader/>
        </w:trPr>
        <w:tc>
          <w:tcPr>
            <w:tcW w:type="dxa" w:w="1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Version</w:t>
            </w:r>
          </w:p>
        </w:tc>
        <w:tc>
          <w:tcPr>
            <w:tcW w:type="dxa" w:w="1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1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Author</w:t>
            </w:r>
          </w:p>
        </w:tc>
        <w:tc>
          <w:tcPr>
            <w:tcW w:type="dxa" w:w="5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Changes</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2026-01-17</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Security Architect</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Initial release - On-premise S/4HANA focus</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2026-01-17</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Security Architect</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Added S/4HANA Cloud/RISE support: OAuth 2.0, Communication Arrangements, Business Catalogs, Shared Responsibility Model, Private Link security</w:t>
            </w:r>
          </w:p>
        </w:tc>
      </w:tr>
      <w:tr>
        <w:tc>
          <w:tcPr>
            <w:tcW w:type="dxa" w:w="1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2.1</w:t>
            </w:r>
          </w:p>
        </w:tc>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2026-01-18</w:t>
            </w:r>
          </w:p>
        </w:tc>
        <w:tc>
          <w:tcPr>
            <w:tcW w:type="dxa" w:w="1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Security Architect</w:t>
            </w:r>
          </w:p>
        </w:tc>
        <w:tc>
          <w:tcPr>
            <w:tcW w:type="dxa" w:w="53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Added Native Pricing Engine (FPE) security: 8 new scopes, 2 new role templates, 4 SOX controls for pricing operations, data classification for pricing entities</w:t>
            </w:r>
          </w:p>
        </w:tc>
      </w:tr>
    </w:tbl>
    <w:p>
      <w:pPr>
        <w:pStyle w:val="Heading2"/>
        <w:spacing w:before="240" w:after="160"/>
      </w:pPr>
      <w:r>
        <w:rPr>
          <w:rFonts w:ascii="Arial" w:cs="Arial" w:eastAsia="Arial" w:hAnsi="Arial"/>
          <w:b/>
          <w:bCs/>
          <w:color w:val="1F4E79"/>
          <w:sz w:val="26"/>
          <w:szCs w:val="26"/>
        </w:rPr>
        <w:t xml:space="preserve">1.2 Related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Document ID</w:t>
            </w:r>
          </w:p>
        </w:tc>
        <w:tc>
          <w:tcPr>
            <w:tcW w:type="dxa" w:w="5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Document Title</w:t>
            </w:r>
          </w:p>
        </w:tc>
        <w:tc>
          <w:tcPr>
            <w:tcW w:type="dxa" w:w="2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Version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FS-FND-001</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Solution Architecture Specification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2.1</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FS-FND-002</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Data Model &amp; ERD Specification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1.1</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FS-TECH-003</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Security Architecture Technical Design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TBD</w:t>
            </w:r>
          </w:p>
        </w:tc>
      </w:tr>
    </w:tbl>
    <w:p>
      <w:r>
        <w:br w:type="page"/>
      </w:r>
    </w:p>
    <w:p>
      <w:pPr>
        <w:pStyle w:val="Heading1"/>
        <w:spacing w:before="300" w:after="200"/>
      </w:pPr>
      <w:r>
        <w:rPr>
          <w:rFonts w:ascii="Arial" w:cs="Arial" w:eastAsia="Arial" w:hAnsi="Arial"/>
          <w:b/>
          <w:bCs/>
          <w:color w:val="1F4E79"/>
          <w:sz w:val="32"/>
          <w:szCs w:val="32"/>
        </w:rPr>
        <w:t xml:space="preserve">2. Executive Summary</w:t>
      </w:r>
    </w:p>
    <w:p>
      <w:pPr>
        <w:pStyle w:val="Heading2"/>
        <w:spacing w:before="240" w:after="160"/>
      </w:pPr>
      <w:r>
        <w:rPr>
          <w:rFonts w:ascii="Arial" w:cs="Arial" w:eastAsia="Arial" w:hAnsi="Arial"/>
          <w:b/>
          <w:bCs/>
          <w:color w:val="1F4E79"/>
          <w:sz w:val="26"/>
          <w:szCs w:val="26"/>
        </w:rPr>
        <w:t xml:space="preserve">2.1 Purpose</w:t>
      </w:r>
    </w:p>
    <w:p>
      <w:pPr>
        <w:spacing w:after="120"/>
      </w:pPr>
      <w:r>
        <w:rPr>
          <w:rFonts w:ascii="Arial" w:cs="Arial" w:eastAsia="Arial" w:hAnsi="Arial"/>
          <w:sz w:val="22"/>
          <w:szCs w:val="22"/>
        </w:rPr>
        <w:t xml:space="preserve">This document defines the comprehensive security architecture and authorization model for FuelSphere. Version 2.1 extends the security framework to include the Native Pricing Engine (FPE) security controls while maintaining support for multiple SAP S/4HANA deployment models including S/4HANA Public Cloud, S/4HANA RISE, and on-premise deployments.</w:t>
      </w:r>
    </w:p>
    <w:p>
      <w:pPr>
        <w:spacing w:after="120"/>
      </w:pPr>
      <w:r>
        <w:rPr>
          <w:rFonts w:ascii="Arial" w:cs="Arial" w:eastAsia="Arial" w:hAnsi="Arial"/>
          <w:sz w:val="22"/>
          <w:szCs w:val="22"/>
        </w:rPr>
        <w:t xml:space="preserve">The security architecture ensures enterprise-grade protection for sensitive fuel operations and pricing data while meeting regulatory compliance requirements including SOX Section 404, GDPR, and ISO 27001.</w:t>
      </w:r>
    </w:p>
    <w:p>
      <w:pPr>
        <w:pStyle w:val="Heading2"/>
        <w:spacing w:before="240" w:after="160"/>
      </w:pPr>
      <w:r>
        <w:rPr>
          <w:rFonts w:ascii="Arial" w:cs="Arial" w:eastAsia="Arial" w:hAnsi="Arial"/>
          <w:b/>
          <w:bCs/>
          <w:color w:val="1F4E79"/>
          <w:sz w:val="26"/>
          <w:szCs w:val="26"/>
        </w:rPr>
        <w:t xml:space="preserve">2.2 Security Architecture by Deployment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400"/>
        <w:gridCol w:w="2260"/>
      </w:tblGrid>
      <w:tr>
        <w:trPr>
          <w:tblHeader/>
        </w:trPr>
        <w:tc>
          <w:tcPr>
            <w:tcW w:type="dxa" w:w="23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Security Aspect</w:t>
            </w:r>
          </w:p>
        </w:tc>
        <w:tc>
          <w:tcPr>
            <w:tcW w:type="dxa" w:w="24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S/4HANA Public Cloud</w:t>
            </w:r>
          </w:p>
        </w:tc>
        <w:tc>
          <w:tcPr>
            <w:tcW w:type="dxa" w:w="24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S/4HANA RISE</w:t>
            </w:r>
          </w:p>
        </w:tc>
        <w:tc>
          <w:tcPr>
            <w:tcW w:type="dxa" w:w="22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On-Premise</w:t>
            </w:r>
          </w:p>
        </w:tc>
      </w:tr>
      <w:tr>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 Authentication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OAuth 2.0 only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OAuth 2.0 / Principal Prop</w:t>
            </w:r>
          </w:p>
        </w:tc>
        <w:tc>
          <w:tcPr>
            <w:tcW w:type="dxa" w:w="2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OAuth / Basic / Cert</w:t>
            </w:r>
          </w:p>
        </w:tc>
      </w:tr>
      <w:tr>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 Authorization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Business Catalogs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Business Catalogs</w:t>
            </w:r>
          </w:p>
        </w:tc>
        <w:tc>
          <w:tcPr>
            <w:tcW w:type="dxa" w:w="2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Authorization Objects</w:t>
            </w:r>
          </w:p>
        </w:tc>
      </w:tr>
      <w:tr>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Network Security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Direct HTTPS + IP Allow</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Private Link</w:t>
            </w:r>
          </w:p>
        </w:tc>
        <w:tc>
          <w:tcPr>
            <w:tcW w:type="dxa" w:w="2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Cloud Connector</w:t>
            </w:r>
          </w:p>
        </w:tc>
      </w:tr>
      <w:tr>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Infrastructure Security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Managed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Managed</w:t>
            </w:r>
          </w:p>
        </w:tc>
        <w:tc>
          <w:tcPr>
            <w:tcW w:type="dxa" w:w="2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Customer Managed</w:t>
            </w:r>
          </w:p>
        </w:tc>
      </w:tr>
      <w:tr>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Patching</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(Quarterly)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Managed</w:t>
            </w:r>
          </w:p>
        </w:tc>
        <w:tc>
          <w:tcPr>
            <w:tcW w:type="dxa" w:w="2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Customer Managed</w:t>
            </w:r>
          </w:p>
        </w:tc>
      </w:tr>
    </w:tbl>
    <w:p>
      <w:pPr>
        <w:pStyle w:val="Heading2"/>
        <w:spacing w:before="240" w:after="160"/>
      </w:pPr>
      <w:r>
        <w:rPr>
          <w:rFonts w:ascii="Arial" w:cs="Arial" w:eastAsia="Arial" w:hAnsi="Arial"/>
          <w:b/>
          <w:bCs/>
          <w:color w:val="1F4E79"/>
          <w:sz w:val="26"/>
          <w:szCs w:val="26"/>
        </w:rPr>
        <w:t xml:space="preserve">2.3 Security Architecture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Component</w:t>
            </w:r>
          </w:p>
        </w:tc>
        <w:tc>
          <w:tcPr>
            <w:tcW w:type="dxa" w:w="6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Technology / Standard</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Identity Provider</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Identity Authentication Service (IAS)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Authorization Service</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XSUAA (OAuth 2.0, JWT)</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S/4HANA Cloud Auth</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OAuth 2.0 via Communication Arrangements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Encryption at Rest</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HANA Cloud Native (AES-256)</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Encryption in Transit</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TLS 1.3</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Compliance Frameworks</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SOX Section 404, GDPR, ISO 27001, IATA</w:t>
            </w:r>
          </w:p>
        </w:tc>
      </w:tr>
      <w:tr>
        <w:tc>
          <w:tcPr>
            <w:tcW w:type="dxa" w:w="3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Total Scopes</w:t>
            </w:r>
          </w:p>
        </w:tc>
        <w:tc>
          <w:tcPr>
            <w:tcW w:type="dxa" w:w="63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25 (17 original + 8 pricing) - UPDATED v2.1</w:t>
            </w:r>
          </w:p>
        </w:tc>
      </w:tr>
      <w:tr>
        <w:tc>
          <w:tcPr>
            <w:tcW w:type="dxa" w:w="3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Total Role Templates</w:t>
            </w:r>
          </w:p>
        </w:tc>
        <w:tc>
          <w:tcPr>
            <w:tcW w:type="dxa" w:w="63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11 (9 original + 2 pricing) - UPDATED v2.1</w:t>
            </w:r>
          </w:p>
        </w:tc>
      </w:tr>
    </w:tbl>
    <w:p>
      <w:r>
        <w:br w:type="page"/>
      </w:r>
    </w:p>
    <w:p>
      <w:pPr>
        <w:pStyle w:val="Heading1"/>
        <w:spacing w:before="300" w:after="200"/>
      </w:pPr>
      <w:r>
        <w:rPr>
          <w:rFonts w:ascii="Arial" w:cs="Arial" w:eastAsia="Arial" w:hAnsi="Arial"/>
          <w:b/>
          <w:bCs/>
          <w:color w:val="1F4E79"/>
          <w:sz w:val="32"/>
          <w:szCs w:val="32"/>
        </w:rPr>
        <w:t xml:space="preserve">3. Authentication Architecture</w:t>
      </w:r>
    </w:p>
    <w:p>
      <w:pPr>
        <w:pStyle w:val="Heading2"/>
        <w:spacing w:before="240" w:after="160"/>
      </w:pPr>
      <w:r>
        <w:rPr>
          <w:rFonts w:ascii="Arial" w:cs="Arial" w:eastAsia="Arial" w:hAnsi="Arial"/>
          <w:b/>
          <w:bCs/>
          <w:color w:val="1F4E79"/>
          <w:sz w:val="26"/>
          <w:szCs w:val="26"/>
        </w:rPr>
        <w:t xml:space="preserve">3.1 FuelSphere Application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Component</w:t>
            </w:r>
          </w:p>
        </w:tc>
        <w:tc>
          <w:tcPr>
            <w:tcW w:type="dxa" w:w="2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Auth Method</w:t>
            </w:r>
          </w:p>
        </w:tc>
        <w:tc>
          <w:tcPr>
            <w:tcW w:type="dxa" w:w="40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Identity Provider</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Fiori Launchpad</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SAML 2.0 SSO</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IAS (federated to Corporate IdP)</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CAP OData Services</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OAuth 2.0 Bearer Token</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XSUAA</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Mobile Application</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OAuth 2.0 + Refresh Token</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XSUAA via Mobile Services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External API Access</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OAuth 2.0 Client Credentials</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XSUAA</w:t>
            </w:r>
          </w:p>
        </w:tc>
      </w:tr>
    </w:tbl>
    <w:p>
      <w:pPr>
        <w:pStyle w:val="Heading2"/>
        <w:spacing w:before="240" w:after="160"/>
      </w:pPr>
      <w:r>
        <w:rPr>
          <w:rFonts w:ascii="Arial" w:cs="Arial" w:eastAsia="Arial" w:hAnsi="Arial"/>
          <w:b/>
          <w:bCs/>
          <w:color w:val="1F4E79"/>
          <w:sz w:val="26"/>
          <w:szCs w:val="26"/>
        </w:rPr>
        <w:t xml:space="preserve">3.2 S/4HANA Integration Authentication</w:t>
      </w:r>
    </w:p>
    <w:p>
      <w:pPr>
        <w:pStyle w:val="Heading3"/>
        <w:spacing w:before="200" w:after="120"/>
      </w:pPr>
      <w:r>
        <w:rPr>
          <w:rFonts w:ascii="Arial" w:cs="Arial" w:eastAsia="Arial" w:hAnsi="Arial"/>
          <w:b/>
          <w:bCs/>
          <w:sz w:val="22"/>
          <w:szCs w:val="22"/>
        </w:rPr>
        <w:t xml:space="preserve">3.2.1 S/4HANA Public Cloud &amp; RISE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Scenario</w:t>
            </w:r>
          </w:p>
        </w:tc>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OAuth Flow</w:t>
            </w:r>
          </w:p>
        </w:tc>
        <w:tc>
          <w:tcPr>
            <w:tcW w:type="dxa" w:w="4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Use Case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User Context (Posting)</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SAML Bearer Assertion</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Journal entries, approvals - maintains user identity for audit</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Technical Integration</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Client Credentials</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Master data sync, batch jobs, scheduled processes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Event Subscription</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Client Credentials</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S/4HANA business event consumption</w:t>
            </w:r>
          </w:p>
        </w:tc>
      </w:tr>
    </w:tbl>
    <w:p>
      <w:pPr>
        <w:pStyle w:val="Heading3"/>
        <w:spacing w:before="200" w:after="120"/>
      </w:pPr>
      <w:r>
        <w:rPr>
          <w:rFonts w:ascii="Arial" w:cs="Arial" w:eastAsia="Arial" w:hAnsi="Arial"/>
          <w:b/>
          <w:bCs/>
          <w:sz w:val="22"/>
          <w:szCs w:val="22"/>
        </w:rPr>
        <w:t xml:space="preserve">3.2.2 S/4HANA On-Premise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Scenario</w:t>
            </w:r>
          </w:p>
        </w:tc>
        <w:tc>
          <w:tcPr>
            <w:tcW w:type="dxa" w:w="2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Auth Method</w:t>
            </w:r>
          </w:p>
        </w:tc>
        <w:tc>
          <w:tcPr>
            <w:tcW w:type="dxa" w:w="40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Use Case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User Context</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Principal Propagation (SCC)</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User identity maintained via Cloud Connector</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Technical Integration</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Technical User + OAuth/Basic</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Background processes, batch sync</w:t>
            </w:r>
          </w:p>
        </w:tc>
      </w:tr>
    </w:tbl>
    <w:p>
      <w:pPr>
        <w:pStyle w:val="Heading2"/>
        <w:spacing w:before="240" w:after="160"/>
      </w:pPr>
      <w:r>
        <w:rPr>
          <w:rFonts w:ascii="Arial" w:cs="Arial" w:eastAsia="Arial" w:hAnsi="Arial"/>
          <w:b/>
          <w:bCs/>
          <w:color w:val="1F4E79"/>
          <w:sz w:val="26"/>
          <w:szCs w:val="26"/>
        </w:rPr>
        <w:t xml:space="preserve">3.3 Communication Arrangements (S/4HANA Cloud)</w:t>
      </w:r>
    </w:p>
    <w:p>
      <w:pPr>
        <w:spacing w:after="120"/>
      </w:pPr>
      <w:r>
        <w:rPr>
          <w:rFonts w:ascii="Arial" w:cs="Arial" w:eastAsia="Arial" w:hAnsi="Arial"/>
          <w:sz w:val="22"/>
          <w:szCs w:val="22"/>
        </w:rPr>
        <w:t xml:space="preserve">S/4HANA Cloud requires Communication Arrangements to expose APIs. Each arrangement creates a Communication User with OAuth credentials: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Scenario ID</w:t>
            </w:r>
          </w:p>
        </w:tc>
        <w:tc>
          <w:tcPr>
            <w:tcW w:type="dxa" w:w="4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3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Communication User</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SAP_COM_0008</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Business Partner Integration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FUELSPHERE_BP_USER</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SAP_COM_0028</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Journal Entry Integration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FUELSPHERE_FI_USER</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SAP_COM_0164</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Purchase Order Integration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FUELSPHERE_MM_USER</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SAP_COM_0367</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Goods Receipt Integration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FUELSPHERE_GR_USER</w:t>
            </w:r>
          </w:p>
        </w:tc>
      </w:tr>
    </w:tbl>
    <w:p>
      <w:pPr>
        <w:pStyle w:val="Heading2"/>
        <w:spacing w:before="240" w:after="160"/>
      </w:pPr>
      <w:r>
        <w:rPr>
          <w:rFonts w:ascii="Arial" w:cs="Arial" w:eastAsia="Arial" w:hAnsi="Arial"/>
          <w:b/>
          <w:bCs/>
          <w:color w:val="1F4E79"/>
          <w:sz w:val="26"/>
          <w:szCs w:val="26"/>
        </w:rPr>
        <w:t xml:space="preserve">3.4 Session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Parameter</w:t>
            </w:r>
          </w:p>
        </w:tc>
        <w:tc>
          <w:tcPr>
            <w:tcW w:type="dxa" w:w="3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Web Application</w:t>
            </w:r>
          </w:p>
        </w:tc>
        <w:tc>
          <w:tcPr>
            <w:tcW w:type="dxa" w:w="2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Mobile Application</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Access Token Lifetime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12 hours</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 hour</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Refresh Token Lifetime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7 days</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30 days</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Session Timeout (Idle)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30 minutes</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15 minutes</w:t>
            </w:r>
          </w:p>
        </w:tc>
      </w:tr>
    </w:tbl>
    <w:p>
      <w:r>
        <w:br w:type="page"/>
      </w:r>
    </w:p>
    <w:p>
      <w:pPr>
        <w:pStyle w:val="Heading1"/>
        <w:spacing w:before="300" w:after="200"/>
      </w:pPr>
      <w:r>
        <w:rPr>
          <w:rFonts w:ascii="Arial" w:cs="Arial" w:eastAsia="Arial" w:hAnsi="Arial"/>
          <w:b/>
          <w:bCs/>
          <w:color w:val="1F4E79"/>
          <w:sz w:val="32"/>
          <w:szCs w:val="32"/>
        </w:rPr>
        <w:t xml:space="preserve">4. Authorization Model</w:t>
      </w:r>
    </w:p>
    <w:p>
      <w:pPr>
        <w:pStyle w:val="Heading2"/>
        <w:spacing w:before="240" w:after="160"/>
      </w:pPr>
      <w:r>
        <w:rPr>
          <w:rFonts w:ascii="Arial" w:cs="Arial" w:eastAsia="Arial" w:hAnsi="Arial"/>
          <w:b/>
          <w:bCs/>
          <w:color w:val="1F4E79"/>
          <w:sz w:val="26"/>
          <w:szCs w:val="26"/>
        </w:rPr>
        <w:t xml:space="preserve">4.1 FuelSphere RBAC (BTP)</w:t>
      </w:r>
    </w:p>
    <w:p>
      <w:pPr>
        <w:spacing w:after="120"/>
      </w:pPr>
      <w:r>
        <w:rPr>
          <w:rFonts w:ascii="Arial" w:cs="Arial" w:eastAsia="Arial" w:hAnsi="Arial"/>
          <w:sz w:val="22"/>
          <w:szCs w:val="22"/>
        </w:rPr>
        <w:t xml:space="preserve">FuelSphere implements Role-Based Access Control using SAP XSUAA scopes, role templates, and role collections.</w:t>
      </w:r>
    </w:p>
    <w:p>
      <w:pPr>
        <w:pStyle w:val="Heading3"/>
        <w:spacing w:before="200" w:after="120"/>
      </w:pPr>
      <w:r>
        <w:rPr>
          <w:rFonts w:ascii="Arial" w:cs="Arial" w:eastAsia="Arial" w:hAnsi="Arial"/>
          <w:b/>
          <w:bCs/>
          <w:sz w:val="22"/>
          <w:szCs w:val="22"/>
        </w:rPr>
        <w:t xml:space="preserve">4.1.1 Scope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2060"/>
      </w:tblGrid>
      <w:tr>
        <w:trPr>
          <w:tblHeader/>
        </w:trPr>
        <w:tc>
          <w:tcPr>
            <w:tcW w:type="dxa" w:w="2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Scope Name</w:t>
            </w:r>
          </w:p>
        </w:tc>
        <w:tc>
          <w:tcPr>
            <w:tcW w:type="dxa" w:w="4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20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Module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MasterDataRead</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Read access to all master data entities</w:t>
            </w:r>
          </w:p>
        </w:tc>
        <w:tc>
          <w:tcPr>
            <w:tcW w:type="dxa" w:w="2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FDD-01</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MasterDataWrite</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Create/Update master data records</w:t>
            </w:r>
          </w:p>
        </w:tc>
        <w:tc>
          <w:tcPr>
            <w:tcW w:type="dxa" w:w="2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FDD-01</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MasterDataAdmin</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Full master data administration including delete</w:t>
            </w:r>
          </w:p>
        </w:tc>
        <w:tc>
          <w:tcPr>
            <w:tcW w:type="dxa" w:w="2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FDD-01</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FuelOrderCreate</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Create and submit fuel orders</w:t>
            </w:r>
          </w:p>
        </w:tc>
        <w:tc>
          <w:tcPr>
            <w:tcW w:type="dxa" w:w="2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FDD-04</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FuelOrderApprove</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Approve or reject fuel orders</w:t>
            </w:r>
          </w:p>
        </w:tc>
        <w:tc>
          <w:tcPr>
            <w:tcW w:type="dxa" w:w="2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FDD-04</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ePODCapture</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Capture electronic proof of delivery</w:t>
            </w:r>
          </w:p>
        </w:tc>
        <w:tc>
          <w:tcPr>
            <w:tcW w:type="dxa" w:w="2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FDD-05</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ePODApprove</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Approve ePOD records</w:t>
            </w:r>
          </w:p>
        </w:tc>
        <w:tc>
          <w:tcPr>
            <w:tcW w:type="dxa" w:w="2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FDD-05</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InvoiceVerify</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Verify and process invoices</w:t>
            </w:r>
          </w:p>
        </w:tc>
        <w:tc>
          <w:tcPr>
            <w:tcW w:type="dxa" w:w="2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FDD-06</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InvoiceApprove</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Approve invoices for payment</w:t>
            </w:r>
          </w:p>
        </w:tc>
        <w:tc>
          <w:tcPr>
            <w:tcW w:type="dxa" w:w="2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FDD-06</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FinancePost</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Post journal entries to S/4HANA</w:t>
            </w:r>
          </w:p>
        </w:tc>
        <w:tc>
          <w:tcPr>
            <w:tcW w:type="dxa" w:w="2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FDD-10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BurnDataView</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View fuel burn and ROB data</w:t>
            </w:r>
          </w:p>
        </w:tc>
        <w:tc>
          <w:tcPr>
            <w:tcW w:type="dxa" w:w="2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FDD-08</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BurnDataEdit</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Edit and correct fuel burn records</w:t>
            </w:r>
          </w:p>
        </w:tc>
        <w:tc>
          <w:tcPr>
            <w:tcW w:type="dxa" w:w="2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FDD-08</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ContractManage</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Manage fuel purchase contracts</w:t>
            </w:r>
          </w:p>
        </w:tc>
        <w:tc>
          <w:tcPr>
            <w:tcW w:type="dxa" w:w="2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FDD-03</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PlanningAccess</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Access fuel planning and forecasting</w:t>
            </w:r>
          </w:p>
        </w:tc>
        <w:tc>
          <w:tcPr>
            <w:tcW w:type="dxa" w:w="2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FDD-02</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ReportView</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View reports and analytics</w:t>
            </w:r>
          </w:p>
        </w:tc>
        <w:tc>
          <w:tcPr>
            <w:tcW w:type="dxa" w:w="2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FDD-12</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IntegrationMonitor</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Monitor integration status and errors</w:t>
            </w:r>
          </w:p>
        </w:tc>
        <w:tc>
          <w:tcPr>
            <w:tcW w:type="dxa" w:w="2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FDD-11</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AdminAccess</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Full system administration access</w:t>
            </w:r>
          </w:p>
        </w:tc>
        <w:tc>
          <w:tcPr>
            <w:tcW w:type="dxa" w:w="2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FDD-13</w:t>
            </w:r>
          </w:p>
        </w:tc>
      </w:tr>
      <w:tr>
        <w:tc>
          <w:tcPr>
            <w:tcW w:type="dxa" w:w="2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PricingConfigRead</w:t>
            </w:r>
          </w:p>
        </w:tc>
        <w:tc>
          <w:tcPr>
            <w:tcW w:type="dxa" w:w="4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Read pricing engine configuration</w:t>
            </w:r>
          </w:p>
        </w:tc>
        <w:tc>
          <w:tcPr>
            <w:tcW w:type="dxa" w:w="20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FDD-03 (NEW)</w:t>
            </w:r>
          </w:p>
        </w:tc>
      </w:tr>
      <w:tr>
        <w:tc>
          <w:tcPr>
            <w:tcW w:type="dxa" w:w="2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PricingConfigWrite</w:t>
            </w:r>
          </w:p>
        </w:tc>
        <w:tc>
          <w:tcPr>
            <w:tcW w:type="dxa" w:w="4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Create/update pricing configuration</w:t>
            </w:r>
          </w:p>
        </w:tc>
        <w:tc>
          <w:tcPr>
            <w:tcW w:type="dxa" w:w="20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FDD-03 (NEW)</w:t>
            </w:r>
          </w:p>
        </w:tc>
      </w:tr>
      <w:tr>
        <w:tc>
          <w:tcPr>
            <w:tcW w:type="dxa" w:w="2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FormulaRead</w:t>
            </w:r>
          </w:p>
        </w:tc>
        <w:tc>
          <w:tcPr>
            <w:tcW w:type="dxa" w:w="4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Read pricing formulas</w:t>
            </w:r>
          </w:p>
        </w:tc>
        <w:tc>
          <w:tcPr>
            <w:tcW w:type="dxa" w:w="20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FDD-03 (NEW)</w:t>
            </w:r>
          </w:p>
        </w:tc>
      </w:tr>
      <w:tr>
        <w:tc>
          <w:tcPr>
            <w:tcW w:type="dxa" w:w="2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FormulaWrite</w:t>
            </w:r>
          </w:p>
        </w:tc>
        <w:tc>
          <w:tcPr>
            <w:tcW w:type="dxa" w:w="4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Create/update pricing formulas</w:t>
            </w:r>
          </w:p>
        </w:tc>
        <w:tc>
          <w:tcPr>
            <w:tcW w:type="dxa" w:w="20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FDD-03 (NEW)</w:t>
            </w:r>
          </w:p>
        </w:tc>
      </w:tr>
      <w:tr>
        <w:tc>
          <w:tcPr>
            <w:tcW w:type="dxa" w:w="2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FormulaApprove</w:t>
            </w:r>
          </w:p>
        </w:tc>
        <w:tc>
          <w:tcPr>
            <w:tcW w:type="dxa" w:w="4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Approve pricing formulas for production</w:t>
            </w:r>
          </w:p>
        </w:tc>
        <w:tc>
          <w:tcPr>
            <w:tcW w:type="dxa" w:w="20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FDD-03 (NEW)</w:t>
            </w:r>
          </w:p>
        </w:tc>
      </w:tr>
      <w:tr>
        <w:tc>
          <w:tcPr>
            <w:tcW w:type="dxa" w:w="2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IndexRead</w:t>
            </w:r>
          </w:p>
        </w:tc>
        <w:tc>
          <w:tcPr>
            <w:tcW w:type="dxa" w:w="4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Read market index data</w:t>
            </w:r>
          </w:p>
        </w:tc>
        <w:tc>
          <w:tcPr>
            <w:tcW w:type="dxa" w:w="20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FDD-03 (NEW)</w:t>
            </w:r>
          </w:p>
        </w:tc>
      </w:tr>
      <w:tr>
        <w:tc>
          <w:tcPr>
            <w:tcW w:type="dxa" w:w="2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IndexWrite</w:t>
            </w:r>
          </w:p>
        </w:tc>
        <w:tc>
          <w:tcPr>
            <w:tcW w:type="dxa" w:w="4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Import/update market index values</w:t>
            </w:r>
          </w:p>
        </w:tc>
        <w:tc>
          <w:tcPr>
            <w:tcW w:type="dxa" w:w="20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FDD-03 (NEW)</w:t>
            </w:r>
          </w:p>
        </w:tc>
      </w:tr>
      <w:tr>
        <w:tc>
          <w:tcPr>
            <w:tcW w:type="dxa" w:w="2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PriceDerivationExecute</w:t>
            </w:r>
          </w:p>
        </w:tc>
        <w:tc>
          <w:tcPr>
            <w:tcW w:type="dxa" w:w="4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Execute price derivation calculations</w:t>
            </w:r>
          </w:p>
        </w:tc>
        <w:tc>
          <w:tcPr>
            <w:tcW w:type="dxa" w:w="20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FDD-03 (NEW)</w:t>
            </w:r>
          </w:p>
        </w:tc>
      </w:tr>
    </w:tbl>
    <w:p>
      <w:r>
        <w:br w:type="page"/>
      </w:r>
    </w:p>
    <w:p>
      <w:pPr>
        <w:pStyle w:val="Heading3"/>
        <w:spacing w:before="200" w:after="120"/>
      </w:pPr>
      <w:r>
        <w:rPr>
          <w:rFonts w:ascii="Arial" w:cs="Arial" w:eastAsia="Arial" w:hAnsi="Arial"/>
          <w:b/>
          <w:bCs/>
          <w:sz w:val="22"/>
          <w:szCs w:val="22"/>
        </w:rPr>
        <w:t xml:space="preserve">4.1.2 Role Templates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Role Template</w:t>
            </w:r>
          </w:p>
        </w:tc>
        <w:tc>
          <w:tcPr>
            <w:tcW w:type="dxa" w:w="4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Key Scopes</w:t>
            </w:r>
          </w:p>
        </w:tc>
        <w:tc>
          <w:tcPr>
            <w:tcW w:type="dxa" w:w="2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Organizational Filter</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MasterDataManager</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MasterDataRead, MasterDataWrite</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Company Code, Plant</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FuelPlanner</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MasterDataRead, FuelOrderCreate, PlanningAccess, PricingConfigRead, FormulaRead</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Company Code, Plant</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StationCoordinator</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MasterDataRead, FuelOrderCreate, ePODCapture</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Plant</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ProcurementSpecialist</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MasterDataRead, ContractManage, ReportView, FormulaRead, IndexRead</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Company Code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FinanceController</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InvoiceVerify, InvoiceApprove, FinancePost, ReportView, PricingConfigRead</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Company Code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OperationsManager</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BurnDataView, FuelOrderApprove, ePODApprove, ReportView</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Company Code, Plant</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IntegrationAdministrator</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MasterDataRead, IntegrationMonitor, ReportView, IndexRead</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None (Global)</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SystemAdministrator</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AdminAccess (All scopes)</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None (Global)</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Viewer</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MasterDataRead, ReportView</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Company Code, Plant</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PricingAnalyst</w:t>
            </w:r>
          </w:p>
        </w:tc>
        <w:tc>
          <w:tcPr>
            <w:tcW w:type="dxa" w:w="4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FormulaRead, FormulaWrite, IndexRead, IndexWrite, PriceDerivationExecute, PricingConfigRead</w:t>
            </w:r>
          </w:p>
        </w:tc>
        <w:tc>
          <w:tcPr>
            <w:tcW w:type="dxa" w:w="23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Company Code (NEW)</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PricingAdministrator</w:t>
            </w:r>
          </w:p>
        </w:tc>
        <w:tc>
          <w:tcPr>
            <w:tcW w:type="dxa" w:w="4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PricingConfigRead, PricingConfigWrite, FormulaRead, FormulaWrite, FormulaApprove, IndexRead, IndexWrite, PriceDerivationExecute</w:t>
            </w:r>
          </w:p>
        </w:tc>
        <w:tc>
          <w:tcPr>
            <w:tcW w:type="dxa" w:w="23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None (Global) (NEW)</w:t>
            </w:r>
          </w:p>
        </w:tc>
      </w:tr>
    </w:tbl>
    <w:p>
      <w:pPr>
        <w:pStyle w:val="Heading2"/>
        <w:spacing w:before="240" w:after="160"/>
      </w:pPr>
      <w:r>
        <w:rPr>
          <w:rFonts w:ascii="Arial" w:cs="Arial" w:eastAsia="Arial" w:hAnsi="Arial"/>
          <w:b/>
          <w:bCs/>
          <w:color w:val="1F4E79"/>
          <w:sz w:val="26"/>
          <w:szCs w:val="26"/>
        </w:rPr>
        <w:t xml:space="preserve">4.2 S/4HANA Cloud Authorization</w:t>
      </w:r>
    </w:p>
    <w:p>
      <w:pPr>
        <w:spacing w:after="120"/>
      </w:pPr>
      <w:r>
        <w:rPr>
          <w:rFonts w:ascii="Arial" w:cs="Arial" w:eastAsia="Arial" w:hAnsi="Arial"/>
          <w:sz w:val="22"/>
          <w:szCs w:val="22"/>
        </w:rPr>
        <w:t xml:space="preserve">For S/4HANA Public Cloud and RISE, authorization uses Business Catalogs and Business Roles instead of traditional Authorization Objects.</w:t>
      </w:r>
    </w:p>
    <w:p>
      <w:pPr>
        <w:pStyle w:val="Heading3"/>
        <w:spacing w:before="200" w:after="120"/>
      </w:pPr>
      <w:r>
        <w:rPr>
          <w:rFonts w:ascii="Arial" w:cs="Arial" w:eastAsia="Arial" w:hAnsi="Arial"/>
          <w:b/>
          <w:bCs/>
          <w:sz w:val="22"/>
          <w:szCs w:val="22"/>
        </w:rPr>
        <w:t xml:space="preserve">4.2.1 Business Catalogs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Business Catalog</w:t>
            </w:r>
          </w:p>
        </w:tc>
        <w:tc>
          <w:tcPr>
            <w:tcW w:type="dxa" w:w="3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30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FuelSphere Module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SAP_FI_BC_GL_JE</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Journal Entry Management</w:t>
            </w:r>
          </w:p>
        </w:tc>
        <w:tc>
          <w:tcPr>
            <w:tcW w:type="dxa" w:w="3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FDD-10 Finance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SAP_MM_BC_PO_MGMT</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Purchase Order Management</w:t>
            </w:r>
          </w:p>
        </w:tc>
        <w:tc>
          <w:tcPr>
            <w:tcW w:type="dxa" w:w="3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FDD-04 Orders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SAP_MM_BC_GR_MGMT</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Goods Receipt Management</w:t>
            </w:r>
          </w:p>
        </w:tc>
        <w:tc>
          <w:tcPr>
            <w:tcW w:type="dxa" w:w="3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FDD-05 ePOD</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SAP_FI_BC_AP_INV</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Supplier Invoice Processing</w:t>
            </w:r>
          </w:p>
        </w:tc>
        <w:tc>
          <w:tcPr>
            <w:tcW w:type="dxa" w:w="3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FDD-06 Invoice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SAP_MM_BC_BP_MAINT</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Business Partner Maintenance</w:t>
            </w:r>
          </w:p>
        </w:tc>
        <w:tc>
          <w:tcPr>
            <w:tcW w:type="dxa" w:w="3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FDD-01 Master Data</w:t>
            </w:r>
          </w:p>
        </w:tc>
      </w:tr>
    </w:tbl>
    <w:p>
      <w:pPr>
        <w:pStyle w:val="Heading3"/>
        <w:spacing w:before="200" w:after="120"/>
      </w:pPr>
      <w:r>
        <w:rPr>
          <w:rFonts w:ascii="Arial" w:cs="Arial" w:eastAsia="Arial" w:hAnsi="Arial"/>
          <w:b/>
          <w:bCs/>
          <w:sz w:val="22"/>
          <w:szCs w:val="22"/>
        </w:rPr>
        <w:t xml:space="preserve">4.2.2 Business Roles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S/4HANA Business Role</w:t>
            </w:r>
          </w:p>
        </w:tc>
        <w:tc>
          <w:tcPr>
            <w:tcW w:type="dxa" w:w="3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SAP Delivered Template</w:t>
            </w:r>
          </w:p>
        </w:tc>
        <w:tc>
          <w:tcPr>
            <w:tcW w:type="dxa" w:w="30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FuelSphere Role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 Accountant</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SAP_BR_AP_ACCOUNTANT</w:t>
            </w:r>
          </w:p>
        </w:tc>
        <w:tc>
          <w:tcPr>
            <w:tcW w:type="dxa" w:w="3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Finance Controller</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Purchaser</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SAP_BR_PURCHASER</w:t>
            </w:r>
          </w:p>
        </w:tc>
        <w:tc>
          <w:tcPr>
            <w:tcW w:type="dxa" w:w="3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Procurement Specialist</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Warehouse Clerk</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SAP_BR_WAREHOUSE_CLERK</w:t>
            </w:r>
          </w:p>
        </w:tc>
        <w:tc>
          <w:tcPr>
            <w:tcW w:type="dxa" w:w="3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Station Coordinator</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GL Accountant</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SAP_BR_GL_ACCOUNTANT</w:t>
            </w:r>
          </w:p>
        </w:tc>
        <w:tc>
          <w:tcPr>
            <w:tcW w:type="dxa" w:w="3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Finance Controller</w:t>
            </w:r>
          </w:p>
        </w:tc>
      </w:tr>
    </w:tbl>
    <w:p>
      <w:pPr>
        <w:pStyle w:val="Heading3"/>
        <w:spacing w:before="200" w:after="120"/>
      </w:pPr>
      <w:r>
        <w:rPr>
          <w:rFonts w:ascii="Arial" w:cs="Arial" w:eastAsia="Arial" w:hAnsi="Arial"/>
          <w:b/>
          <w:bCs/>
          <w:sz w:val="22"/>
          <w:szCs w:val="22"/>
        </w:rPr>
        <w:t xml:space="preserve">4.2.3 Restriction Types</w:t>
      </w:r>
    </w:p>
    <w:p>
      <w:pPr>
        <w:spacing w:after="120"/>
      </w:pPr>
      <w:r>
        <w:rPr>
          <w:rFonts w:ascii="Arial" w:cs="Arial" w:eastAsia="Arial" w:hAnsi="Arial"/>
          <w:sz w:val="22"/>
          <w:szCs w:val="22"/>
        </w:rPr>
        <w:t xml:space="preserve">S/4HANA Cloud uses Restriction Types for organizational filtering (replacing Authorization Object organizational levels):</w:t>
      </w:r>
    </w:p>
    <w:p>
      <w:pPr>
        <w:pStyle w:val="ListParagraph"/>
        <w:numPr>
          <w:ilvl w:val="0"/>
          <w:numId w:val="1"/>
        </w:numPr>
        <w:spacing w:after="80"/>
      </w:pPr>
      <w:r>
        <w:rPr>
          <w:rFonts w:ascii="Arial" w:cs="Arial" w:eastAsia="Arial" w:hAnsi="Arial"/>
          <w:sz w:val="22"/>
          <w:szCs w:val="22"/>
        </w:rPr>
        <w:t xml:space="preserve">Company Code - Restricts access to specific legal entities</w:t>
      </w:r>
    </w:p>
    <w:p>
      <w:pPr>
        <w:pStyle w:val="ListParagraph"/>
        <w:numPr>
          <w:ilvl w:val="0"/>
          <w:numId w:val="1"/>
        </w:numPr>
        <w:spacing w:after="80"/>
      </w:pPr>
      <w:r>
        <w:rPr>
          <w:rFonts w:ascii="Arial" w:cs="Arial" w:eastAsia="Arial" w:hAnsi="Arial"/>
          <w:sz w:val="22"/>
          <w:szCs w:val="22"/>
        </w:rPr>
        <w:t xml:space="preserve">Plant - Restricts access to specific facilities/airports</w:t>
      </w:r>
    </w:p>
    <w:p>
      <w:pPr>
        <w:pStyle w:val="ListParagraph"/>
        <w:numPr>
          <w:ilvl w:val="0"/>
          <w:numId w:val="1"/>
        </w:numPr>
        <w:spacing w:after="80"/>
      </w:pPr>
      <w:r>
        <w:rPr>
          <w:rFonts w:ascii="Arial" w:cs="Arial" w:eastAsia="Arial" w:hAnsi="Arial"/>
          <w:sz w:val="22"/>
          <w:szCs w:val="22"/>
        </w:rPr>
        <w:t xml:space="preserve">Purchasing Organization - Restricts procurement activities</w:t>
      </w:r>
    </w:p>
    <w:p>
      <w:pPr>
        <w:pStyle w:val="ListParagraph"/>
        <w:numPr>
          <w:ilvl w:val="0"/>
          <w:numId w:val="1"/>
        </w:numPr>
        <w:spacing w:after="80"/>
      </w:pPr>
      <w:r>
        <w:rPr>
          <w:rFonts w:ascii="Arial" w:cs="Arial" w:eastAsia="Arial" w:hAnsi="Arial"/>
          <w:sz w:val="22"/>
          <w:szCs w:val="22"/>
        </w:rPr>
        <w:t xml:space="preserve">Cost Center - Restricts controlling activities</w:t>
      </w:r>
    </w:p>
    <w:p>
      <w:r>
        <w:br w:type="page"/>
      </w:r>
    </w:p>
    <w:p>
      <w:pPr>
        <w:pStyle w:val="Heading1"/>
        <w:spacing w:before="300" w:after="200"/>
      </w:pPr>
      <w:r>
        <w:rPr>
          <w:rFonts w:ascii="Arial" w:cs="Arial" w:eastAsia="Arial" w:hAnsi="Arial"/>
          <w:b/>
          <w:bCs/>
          <w:color w:val="1F4E79"/>
          <w:sz w:val="32"/>
          <w:szCs w:val="32"/>
        </w:rPr>
        <w:t xml:space="preserve">5. Role-Permission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900"/>
        <w:gridCol w:w="1100"/>
        <w:gridCol w:w="1000"/>
        <w:gridCol w:w="1000"/>
        <w:gridCol w:w="760"/>
      </w:tblGrid>
      <w:tr>
        <w:trPr>
          <w:tblHeader/>
        </w:trPr>
        <w:tc>
          <w:tcPr>
            <w:tcW w:type="dxa" w:w="2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Role</w:t>
            </w:r>
          </w:p>
        </w:tc>
        <w:tc>
          <w:tcPr>
            <w:tcW w:type="dxa" w:w="1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Master Data</w:t>
            </w:r>
          </w:p>
        </w:tc>
        <w:tc>
          <w:tcPr>
            <w:tcW w:type="dxa" w:w="1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Fuel Orders</w:t>
            </w:r>
          </w:p>
        </w:tc>
        <w:tc>
          <w:tcPr>
            <w:tcW w:type="dxa" w:w="9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ePOD</w:t>
            </w:r>
          </w:p>
        </w:tc>
        <w:tc>
          <w:tcPr>
            <w:tcW w:type="dxa" w:w="11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Invoices</w:t>
            </w:r>
          </w:p>
        </w:tc>
        <w:tc>
          <w:tcPr>
            <w:tcW w:type="dxa" w:w="1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Finance</w:t>
            </w:r>
          </w:p>
        </w:tc>
        <w:tc>
          <w:tcPr>
            <w:tcW w:type="dxa" w:w="1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Pricing</w:t>
            </w:r>
          </w:p>
        </w:tc>
        <w:tc>
          <w:tcPr>
            <w:tcW w:type="dxa" w:w="7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Admin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Master Data Manager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CRUD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 Planner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Station Coordinator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CRU</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CRU</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Finance Controller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CRUD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CRU</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Operations Manager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RU</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RU</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Procurement Specialist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Integration Administrator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 Administrator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CRUD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CRUD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CRUD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CRUD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CRUD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CRUD</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CRUD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Viewer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Pricing Analyst (NEW)</w:t>
            </w:r>
          </w:p>
        </w:tc>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R</w:t>
            </w:r>
          </w:p>
        </w:tc>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9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11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CRU</w:t>
            </w:r>
          </w:p>
        </w:tc>
        <w:tc>
          <w:tcPr>
            <w:tcW w:type="dxa" w:w="7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r>
      <w:tr>
        <w:tc>
          <w:tcPr>
            <w:tcW w:type="dxa" w:w="2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Pricing Administrator (NEW)</w:t>
            </w:r>
          </w:p>
        </w:tc>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R</w:t>
            </w:r>
          </w:p>
        </w:tc>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9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11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CRUD</w:t>
            </w:r>
          </w:p>
        </w:tc>
        <w:tc>
          <w:tcPr>
            <w:tcW w:type="dxa" w:w="7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R</w:t>
            </w:r>
          </w:p>
        </w:tc>
      </w:tr>
    </w:tbl>
    <w:p>
      <w:pPr>
        <w:spacing w:after="120"/>
      </w:pPr>
      <w:r>
        <w:rPr>
          <w:rFonts w:ascii="Arial" w:cs="Arial" w:eastAsia="Arial" w:hAnsi="Arial"/>
          <w:sz w:val="22"/>
          <w:szCs w:val="22"/>
        </w:rPr>
        <w:t xml:space="preserve">Legend: C=Create, R=Read, U=Update, D=Delete, -=No Access</w:t>
      </w:r>
    </w:p>
    <w:p>
      <w:r>
        <w:br w:type="page"/>
      </w:r>
    </w:p>
    <w:p>
      <w:pPr>
        <w:pStyle w:val="Heading1"/>
        <w:spacing w:before="300" w:after="200"/>
      </w:pPr>
      <w:r>
        <w:rPr>
          <w:rFonts w:ascii="Arial" w:cs="Arial" w:eastAsia="Arial" w:hAnsi="Arial"/>
          <w:b/>
          <w:bCs/>
          <w:color w:val="1F4E79"/>
          <w:sz w:val="32"/>
          <w:szCs w:val="32"/>
        </w:rPr>
        <w:t xml:space="preserve">6. Segregation of Duties (SoD)</w:t>
      </w:r>
    </w:p>
    <w:p>
      <w:pPr>
        <w:pStyle w:val="Heading2"/>
        <w:spacing w:before="240" w:after="160"/>
      </w:pPr>
      <w:r>
        <w:rPr>
          <w:rFonts w:ascii="Arial" w:cs="Arial" w:eastAsia="Arial" w:hAnsi="Arial"/>
          <w:b/>
          <w:bCs/>
          <w:color w:val="1F4E79"/>
          <w:sz w:val="26"/>
          <w:szCs w:val="26"/>
        </w:rPr>
        <w:t xml:space="preserve">6.1 SoD Conflict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200"/>
        <w:gridCol w:w="3560"/>
      </w:tblGrid>
      <w:tr>
        <w:trPr>
          <w:tblHeader/>
        </w:trPr>
        <w:tc>
          <w:tcPr>
            <w:tcW w:type="dxa" w:w="23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Function A</w:t>
            </w:r>
          </w:p>
        </w:tc>
        <w:tc>
          <w:tcPr>
            <w:tcW w:type="dxa" w:w="23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Function B</w:t>
            </w:r>
          </w:p>
        </w:tc>
        <w:tc>
          <w:tcPr>
            <w:tcW w:type="dxa" w:w="1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Risk</w:t>
            </w:r>
          </w:p>
        </w:tc>
        <w:tc>
          <w:tcPr>
            <w:tcW w:type="dxa" w:w="35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Mitigation</w:t>
            </w:r>
          </w:p>
        </w:tc>
      </w:tr>
      <w:tr>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Create Fuel Order</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Approve Fuel Order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High</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Workflow - different approver</w:t>
            </w:r>
          </w:p>
        </w:tc>
      </w:tr>
      <w:tr>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Verify Invoice</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Approve Invoice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High</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Dual approval workflow</w:t>
            </w:r>
          </w:p>
        </w:tc>
      </w:tr>
      <w:tr>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Approve Invoice</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Post Payment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Different roles required</w:t>
            </w:r>
          </w:p>
        </w:tc>
      </w:tr>
      <w:tr>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Maintain Vendor</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Create PO</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SoD enforcement in role design</w:t>
            </w:r>
          </w:p>
        </w:tc>
      </w:tr>
      <w:tr>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Maintain CPE Prices</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Create Fuel Orders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High</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Price approval workflow</w:t>
            </w:r>
          </w:p>
        </w:tc>
      </w:tr>
      <w:tr>
        <w:tc>
          <w:tcPr>
            <w:tcW w:type="dxa" w:w="23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Create Formula</w:t>
            </w:r>
          </w:p>
        </w:tc>
        <w:tc>
          <w:tcPr>
            <w:tcW w:type="dxa" w:w="23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Approve Formula</w:t>
            </w:r>
          </w:p>
        </w:tc>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Critical</w:t>
            </w:r>
          </w:p>
        </w:tc>
        <w:tc>
          <w:tcPr>
            <w:tcW w:type="dxa" w:w="35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FPE-001: Separate users required (NEW)</w:t>
            </w:r>
          </w:p>
        </w:tc>
      </w:tr>
      <w:tr>
        <w:tc>
          <w:tcPr>
            <w:tcW w:type="dxa" w:w="23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Import Index Values</w:t>
            </w:r>
          </w:p>
        </w:tc>
        <w:tc>
          <w:tcPr>
            <w:tcW w:type="dxa" w:w="23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Execute Price Derivation</w:t>
            </w:r>
          </w:p>
        </w:tc>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High</w:t>
            </w:r>
          </w:p>
        </w:tc>
        <w:tc>
          <w:tcPr>
            <w:tcW w:type="dxa" w:w="35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FPE-002: Verification required (NEW)</w:t>
            </w:r>
          </w:p>
        </w:tc>
      </w:tr>
      <w:tr>
        <w:tc>
          <w:tcPr>
            <w:tcW w:type="dxa" w:w="23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Modify Pricing Config</w:t>
            </w:r>
          </w:p>
        </w:tc>
        <w:tc>
          <w:tcPr>
            <w:tcW w:type="dxa" w:w="23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Execute Price Derivation</w:t>
            </w:r>
          </w:p>
        </w:tc>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High</w:t>
            </w:r>
          </w:p>
        </w:tc>
        <w:tc>
          <w:tcPr>
            <w:tcW w:type="dxa" w:w="35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Admin vs Analyst separation (NEW)</w:t>
            </w:r>
          </w:p>
        </w:tc>
      </w:tr>
    </w:tbl>
    <w:p>
      <w:pPr>
        <w:pStyle w:val="Heading2"/>
        <w:spacing w:before="240" w:after="160"/>
      </w:pPr>
      <w:r>
        <w:rPr>
          <w:rFonts w:ascii="Arial" w:cs="Arial" w:eastAsia="Arial" w:hAnsi="Arial"/>
          <w:b/>
          <w:bCs/>
          <w:color w:val="1F4E79"/>
          <w:sz w:val="26"/>
          <w:szCs w:val="26"/>
        </w:rPr>
        <w:t xml:space="preserve">6.2 S/4HANA Cloud SoD Considerations</w:t>
      </w:r>
    </w:p>
    <w:p>
      <w:pPr>
        <w:spacing w:after="120"/>
      </w:pPr>
      <w:r>
        <w:rPr>
          <w:rFonts w:ascii="Arial" w:cs="Arial" w:eastAsia="Arial" w:hAnsi="Arial"/>
          <w:sz w:val="22"/>
          <w:szCs w:val="22"/>
        </w:rPr>
        <w:t xml:space="preserve">S/4HANA Cloud provides built-in SoD analysis tools that integrate with FuelSphere:</w:t>
      </w:r>
    </w:p>
    <w:p>
      <w:pPr>
        <w:pStyle w:val="ListParagraph"/>
        <w:numPr>
          <w:ilvl w:val="0"/>
          <w:numId w:val="1"/>
        </w:numPr>
        <w:spacing w:after="80"/>
      </w:pPr>
      <w:r>
        <w:rPr>
          <w:rFonts w:ascii="Arial" w:cs="Arial" w:eastAsia="Arial" w:hAnsi="Arial"/>
          <w:sz w:val="22"/>
          <w:szCs w:val="22"/>
        </w:rPr>
        <w:t xml:space="preserve">IAM Apps: Built-in business role SoD checks</w:t>
      </w:r>
    </w:p>
    <w:p>
      <w:pPr>
        <w:pStyle w:val="ListParagraph"/>
        <w:numPr>
          <w:ilvl w:val="0"/>
          <w:numId w:val="1"/>
        </w:numPr>
        <w:spacing w:after="80"/>
      </w:pPr>
      <w:r>
        <w:rPr>
          <w:rFonts w:ascii="Arial" w:cs="Arial" w:eastAsia="Arial" w:hAnsi="Arial"/>
          <w:sz w:val="22"/>
          <w:szCs w:val="22"/>
        </w:rPr>
        <w:t xml:space="preserve">Business Role Changes App: Audit trail of role modifications</w:t>
      </w:r>
    </w:p>
    <w:p>
      <w:pPr>
        <w:pStyle w:val="ListParagraph"/>
        <w:numPr>
          <w:ilvl w:val="0"/>
          <w:numId w:val="1"/>
        </w:numPr>
        <w:spacing w:after="80"/>
      </w:pPr>
      <w:r>
        <w:rPr>
          <w:rFonts w:ascii="Arial" w:cs="Arial" w:eastAsia="Arial" w:hAnsi="Arial"/>
          <w:sz w:val="22"/>
          <w:szCs w:val="22"/>
        </w:rPr>
        <w:t xml:space="preserve">Maintain Business Users: Centralized access review</w:t>
      </w:r>
    </w:p>
    <w:p>
      <w:pPr>
        <w:pStyle w:val="Heading2"/>
        <w:spacing w:before="240" w:after="160"/>
      </w:pPr>
      <w:r>
        <w:rPr>
          <w:rFonts w:ascii="Arial" w:cs="Arial" w:eastAsia="Arial" w:hAnsi="Arial"/>
          <w:b/>
          <w:bCs/>
          <w:color w:val="2E7D32"/>
          <w:sz w:val="26"/>
          <w:szCs w:val="26"/>
        </w:rPr>
        <w:t xml:space="preserve">6.3 FPE-Specific SOX Controls</w:t>
      </w:r>
    </w:p>
    <w:p>
      <w:pPr>
        <w:spacing w:after="120"/>
      </w:pPr>
      <w:r>
        <w:rPr>
          <w:rFonts w:ascii="Arial" w:cs="Arial" w:eastAsia="Arial" w:hAnsi="Arial"/>
          <w:sz w:val="22"/>
          <w:szCs w:val="22"/>
        </w:rPr>
        <w:t xml:space="preserve">The Native Pricing Engine introduces 4 additional SOX Section 404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200"/>
        <w:gridCol w:w="3160"/>
      </w:tblGrid>
      <w:tr>
        <w:trPr>
          <w:tblHeader/>
        </w:trPr>
        <w:tc>
          <w:tcPr>
            <w:tcW w:type="dxa" w:w="1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Control ID</w:t>
            </w:r>
          </w:p>
        </w:tc>
        <w:tc>
          <w:tcPr>
            <w:tcW w:type="dxa" w:w="1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Requirement</w:t>
            </w:r>
          </w:p>
        </w:tc>
        <w:tc>
          <w:tcPr>
            <w:tcW w:type="dxa" w:w="3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Implementation</w:t>
            </w:r>
          </w:p>
        </w:tc>
        <w:tc>
          <w:tcPr>
            <w:tcW w:type="dxa" w:w="31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Evidence</w:t>
            </w:r>
          </w:p>
        </w:tc>
      </w:tr>
      <w:tr>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FPE-001</w:t>
            </w:r>
          </w:p>
        </w:tc>
        <w:tc>
          <w:tcPr>
            <w:tcW w:type="dxa" w:w="1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Formula Segregation</w:t>
            </w:r>
          </w:p>
        </w:tc>
        <w:tc>
          <w:tcPr>
            <w:tcW w:type="dxa" w:w="3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Formula creator cannot be approver</w:t>
            </w:r>
          </w:p>
        </w:tc>
        <w:tc>
          <w:tcPr>
            <w:tcW w:type="dxa" w:w="31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Workflow audit log showing different users</w:t>
            </w:r>
          </w:p>
        </w:tc>
      </w:tr>
      <w:tr>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FPE-002</w:t>
            </w:r>
          </w:p>
        </w:tc>
        <w:tc>
          <w:tcPr>
            <w:tcW w:type="dxa" w:w="1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Index Verification</w:t>
            </w:r>
          </w:p>
        </w:tc>
        <w:tc>
          <w:tcPr>
            <w:tcW w:type="dxa" w:w="3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Index importer cannot execute price derivation</w:t>
            </w:r>
          </w:p>
        </w:tc>
        <w:tc>
          <w:tcPr>
            <w:tcW w:type="dxa" w:w="31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Separate user IDs in derivation logs</w:t>
            </w:r>
          </w:p>
        </w:tc>
      </w:tr>
      <w:tr>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FPE-003</w:t>
            </w:r>
          </w:p>
        </w:tc>
        <w:tc>
          <w:tcPr>
            <w:tcW w:type="dxa" w:w="1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Formula Audit Trail</w:t>
            </w:r>
          </w:p>
        </w:tc>
        <w:tc>
          <w:tcPr>
            <w:tcW w:type="dxa" w:w="3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All formula versions retained, no deletion</w:t>
            </w:r>
          </w:p>
        </w:tc>
        <w:tc>
          <w:tcPr>
            <w:tcW w:type="dxa" w:w="31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PricingFormula version history, no DELETE permission</w:t>
            </w:r>
          </w:p>
        </w:tc>
      </w:tr>
      <w:tr>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FPE-004</w:t>
            </w:r>
          </w:p>
        </w:tc>
        <w:tc>
          <w:tcPr>
            <w:tcW w:type="dxa" w:w="1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Index Value Verification</w:t>
            </w:r>
          </w:p>
        </w:tc>
        <w:tc>
          <w:tcPr>
            <w:tcW w:type="dxa" w:w="3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Imported values require verification before use</w:t>
            </w:r>
          </w:p>
        </w:tc>
        <w:tc>
          <w:tcPr>
            <w:tcW w:type="dxa" w:w="31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isVerified flag and verifiedBy audit fields</w:t>
            </w:r>
          </w:p>
        </w:tc>
      </w:tr>
    </w:tbl>
    <w:p>
      <w:r>
        <w:br w:type="page"/>
      </w:r>
    </w:p>
    <w:p>
      <w:pPr>
        <w:pStyle w:val="Heading1"/>
        <w:spacing w:before="300" w:after="200"/>
      </w:pPr>
      <w:r>
        <w:rPr>
          <w:rFonts w:ascii="Arial" w:cs="Arial" w:eastAsia="Arial" w:hAnsi="Arial"/>
          <w:b/>
          <w:bCs/>
          <w:color w:val="1F4E79"/>
          <w:sz w:val="32"/>
          <w:szCs w:val="32"/>
        </w:rPr>
        <w:t xml:space="preserve">7. Network Security</w:t>
      </w:r>
    </w:p>
    <w:p>
      <w:pPr>
        <w:pStyle w:val="Heading2"/>
        <w:spacing w:before="240" w:after="160"/>
      </w:pPr>
      <w:r>
        <w:rPr>
          <w:rFonts w:ascii="Arial" w:cs="Arial" w:eastAsia="Arial" w:hAnsi="Arial"/>
          <w:b/>
          <w:bCs/>
          <w:color w:val="1F4E79"/>
          <w:sz w:val="26"/>
          <w:szCs w:val="26"/>
        </w:rPr>
        <w:t xml:space="preserve">7.1 Connectivity by Deployment Model</w:t>
      </w:r>
    </w:p>
    <w:p>
      <w:pPr>
        <w:pStyle w:val="Heading3"/>
        <w:spacing w:before="200" w:after="120"/>
      </w:pPr>
      <w:r>
        <w:rPr>
          <w:rFonts w:ascii="Arial" w:cs="Arial" w:eastAsia="Arial" w:hAnsi="Arial"/>
          <w:b/>
          <w:bCs/>
          <w:sz w:val="22"/>
          <w:szCs w:val="22"/>
        </w:rPr>
        <w:t xml:space="preserve">7.1.1 S/4HANA Public Cloud</w:t>
      </w:r>
    </w:p>
    <w:p>
      <w:pPr>
        <w:pStyle w:val="ListParagraph"/>
        <w:numPr>
          <w:ilvl w:val="0"/>
          <w:numId w:val="1"/>
        </w:numPr>
        <w:spacing w:after="80"/>
      </w:pPr>
      <w:r>
        <w:rPr>
          <w:rFonts w:ascii="Arial" w:cs="Arial" w:eastAsia="Arial" w:hAnsi="Arial"/>
          <w:sz w:val="22"/>
          <w:szCs w:val="22"/>
        </w:rPr>
        <w:t xml:space="preserve">Direct HTTPS connectivity over public internet</w:t>
      </w:r>
    </w:p>
    <w:p>
      <w:pPr>
        <w:pStyle w:val="ListParagraph"/>
        <w:numPr>
          <w:ilvl w:val="0"/>
          <w:numId w:val="1"/>
        </w:numPr>
        <w:spacing w:after="80"/>
      </w:pPr>
      <w:r>
        <w:rPr>
          <w:rFonts w:ascii="Arial" w:cs="Arial" w:eastAsia="Arial" w:hAnsi="Arial"/>
          <w:sz w:val="22"/>
          <w:szCs w:val="22"/>
        </w:rPr>
        <w:t xml:space="preserve">No SAP Cloud Connector required</w:t>
      </w:r>
    </w:p>
    <w:p>
      <w:pPr>
        <w:pStyle w:val="ListParagraph"/>
        <w:numPr>
          <w:ilvl w:val="0"/>
          <w:numId w:val="1"/>
        </w:numPr>
        <w:spacing w:after="80"/>
      </w:pPr>
      <w:r>
        <w:rPr>
          <w:rFonts w:ascii="Arial" w:cs="Arial" w:eastAsia="Arial" w:hAnsi="Arial"/>
          <w:sz w:val="22"/>
          <w:szCs w:val="22"/>
        </w:rPr>
        <w:t xml:space="preserve">IP allowlisting configurable in Communication Arrangement</w:t>
      </w:r>
    </w:p>
    <w:p>
      <w:pPr>
        <w:pStyle w:val="ListParagraph"/>
        <w:numPr>
          <w:ilvl w:val="0"/>
          <w:numId w:val="1"/>
        </w:numPr>
        <w:spacing w:after="80"/>
      </w:pPr>
      <w:r>
        <w:rPr>
          <w:rFonts w:ascii="Arial" w:cs="Arial" w:eastAsia="Arial" w:hAnsi="Arial"/>
          <w:sz w:val="22"/>
          <w:szCs w:val="22"/>
        </w:rPr>
        <w:t xml:space="preserve">TLS 1.2+ mandatory (TLS 1.3 recommended)</w:t>
      </w:r>
    </w:p>
    <w:p>
      <w:pPr>
        <w:pStyle w:val="Heading3"/>
        <w:spacing w:before="200" w:after="120"/>
      </w:pPr>
      <w:r>
        <w:rPr>
          <w:rFonts w:ascii="Arial" w:cs="Arial" w:eastAsia="Arial" w:hAnsi="Arial"/>
          <w:b/>
          <w:bCs/>
          <w:sz w:val="22"/>
          <w:szCs w:val="22"/>
        </w:rPr>
        <w:t xml:space="preserve">7.1.2 S/4HANA RISE (Private Link)</w:t>
      </w:r>
    </w:p>
    <w:p>
      <w:pPr>
        <w:pStyle w:val="ListParagraph"/>
        <w:numPr>
          <w:ilvl w:val="0"/>
          <w:numId w:val="1"/>
        </w:numPr>
        <w:spacing w:after="80"/>
      </w:pPr>
      <w:r>
        <w:rPr>
          <w:rFonts w:ascii="Arial" w:cs="Arial" w:eastAsia="Arial" w:hAnsi="Arial"/>
          <w:sz w:val="22"/>
          <w:szCs w:val="22"/>
        </w:rPr>
        <w:t xml:space="preserve">SAP Private Link Service (Azure Private Link / AWS PrivateLink)</w:t>
      </w:r>
    </w:p>
    <w:p>
      <w:pPr>
        <w:pStyle w:val="ListParagraph"/>
        <w:numPr>
          <w:ilvl w:val="0"/>
          <w:numId w:val="1"/>
        </w:numPr>
        <w:spacing w:after="80"/>
      </w:pPr>
      <w:r>
        <w:rPr>
          <w:rFonts w:ascii="Arial" w:cs="Arial" w:eastAsia="Arial" w:hAnsi="Arial"/>
          <w:sz w:val="22"/>
          <w:szCs w:val="22"/>
        </w:rPr>
        <w:t xml:space="preserve">Traffic stays within cloud provider backbone - no public internet</w:t>
      </w:r>
    </w:p>
    <w:p>
      <w:pPr>
        <w:pStyle w:val="ListParagraph"/>
        <w:numPr>
          <w:ilvl w:val="0"/>
          <w:numId w:val="1"/>
        </w:numPr>
        <w:spacing w:after="80"/>
      </w:pPr>
      <w:r>
        <w:rPr>
          <w:rFonts w:ascii="Arial" w:cs="Arial" w:eastAsia="Arial" w:hAnsi="Arial"/>
          <w:sz w:val="22"/>
          <w:szCs w:val="22"/>
        </w:rPr>
        <w:t xml:space="preserve">Requires Private Link service instance in BTP subaccount</w:t>
      </w:r>
    </w:p>
    <w:p>
      <w:pPr>
        <w:pStyle w:val="ListParagraph"/>
        <w:numPr>
          <w:ilvl w:val="0"/>
          <w:numId w:val="1"/>
        </w:numPr>
        <w:spacing w:after="80"/>
      </w:pPr>
      <w:r>
        <w:rPr>
          <w:rFonts w:ascii="Arial" w:cs="Arial" w:eastAsia="Arial" w:hAnsi="Arial"/>
          <w:sz w:val="22"/>
          <w:szCs w:val="22"/>
        </w:rPr>
        <w:t xml:space="preserve">BTP Destination Proxy Type: PrivateLink</w:t>
      </w:r>
    </w:p>
    <w:p>
      <w:pPr>
        <w:pStyle w:val="Heading3"/>
        <w:spacing w:before="200" w:after="120"/>
      </w:pPr>
      <w:r>
        <w:rPr>
          <w:rFonts w:ascii="Arial" w:cs="Arial" w:eastAsia="Arial" w:hAnsi="Arial"/>
          <w:b/>
          <w:bCs/>
          <w:sz w:val="22"/>
          <w:szCs w:val="22"/>
        </w:rPr>
        <w:t xml:space="preserve">7.1.3 S/4HANA On-Premise (Cloud Connector)</w:t>
      </w:r>
    </w:p>
    <w:p>
      <w:pPr>
        <w:pStyle w:val="ListParagraph"/>
        <w:numPr>
          <w:ilvl w:val="0"/>
          <w:numId w:val="1"/>
        </w:numPr>
        <w:spacing w:after="80"/>
      </w:pPr>
      <w:r>
        <w:rPr>
          <w:rFonts w:ascii="Arial" w:cs="Arial" w:eastAsia="Arial" w:hAnsi="Arial"/>
          <w:sz w:val="22"/>
          <w:szCs w:val="22"/>
        </w:rPr>
        <w:t xml:space="preserve">SAP Cloud Connector installed in customer DMZ</w:t>
      </w:r>
    </w:p>
    <w:p>
      <w:pPr>
        <w:pStyle w:val="ListParagraph"/>
        <w:numPr>
          <w:ilvl w:val="0"/>
          <w:numId w:val="1"/>
        </w:numPr>
        <w:spacing w:after="80"/>
      </w:pPr>
      <w:r>
        <w:rPr>
          <w:rFonts w:ascii="Arial" w:cs="Arial" w:eastAsia="Arial" w:hAnsi="Arial"/>
          <w:sz w:val="22"/>
          <w:szCs w:val="22"/>
        </w:rPr>
        <w:t xml:space="preserve">Reverse proxy - outbound connection only from on-premise</w:t>
      </w:r>
    </w:p>
    <w:p>
      <w:pPr>
        <w:pStyle w:val="ListParagraph"/>
        <w:numPr>
          <w:ilvl w:val="0"/>
          <w:numId w:val="1"/>
        </w:numPr>
        <w:spacing w:after="80"/>
      </w:pPr>
      <w:r>
        <w:rPr>
          <w:rFonts w:ascii="Arial" w:cs="Arial" w:eastAsia="Arial" w:hAnsi="Arial"/>
          <w:sz w:val="22"/>
          <w:szCs w:val="22"/>
        </w:rPr>
        <w:t xml:space="preserve">BTP Destination Proxy Type: OnPremise</w:t>
      </w:r>
    </w:p>
    <w:p>
      <w:pPr>
        <w:pStyle w:val="Heading2"/>
        <w:spacing w:before="240" w:after="160"/>
      </w:pPr>
      <w:r>
        <w:rPr>
          <w:rFonts w:ascii="Arial" w:cs="Arial" w:eastAsia="Arial" w:hAnsi="Arial"/>
          <w:b/>
          <w:bCs/>
          <w:color w:val="1F4E79"/>
          <w:sz w:val="26"/>
          <w:szCs w:val="26"/>
        </w:rPr>
        <w:t xml:space="preserve">7.2 Encryption Standards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Security Control</w:t>
            </w:r>
          </w:p>
        </w:tc>
        <w:tc>
          <w:tcPr>
            <w:tcW w:type="dxa" w:w="6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Implementation</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Data Encryption at Rest</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HANA Cloud native encryption (AES-256)</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Data Encryption in Transit</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TLS 1.3 for all communications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Certificate Management</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SAP-managed with auto-renewal (customer BYOC option)</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Key Management</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Data Custodian (BYOK option available)</w:t>
            </w:r>
          </w:p>
        </w:tc>
      </w:tr>
    </w:tbl>
    <w:p>
      <w:r>
        <w:br w:type="page"/>
      </w:r>
    </w:p>
    <w:p>
      <w:pPr>
        <w:pStyle w:val="Heading1"/>
        <w:spacing w:before="300" w:after="200"/>
      </w:pPr>
      <w:r>
        <w:rPr>
          <w:rFonts w:ascii="Arial" w:cs="Arial" w:eastAsia="Arial" w:hAnsi="Arial"/>
          <w:b/>
          <w:bCs/>
          <w:color w:val="1F4E79"/>
          <w:sz w:val="32"/>
          <w:szCs w:val="32"/>
        </w:rPr>
        <w:t xml:space="preserve">8. Shared Responsibility Model</w:t>
      </w:r>
    </w:p>
    <w:p>
      <w:pPr>
        <w:spacing w:after="120"/>
      </w:pPr>
      <w:r>
        <w:rPr>
          <w:rFonts w:ascii="Arial" w:cs="Arial" w:eastAsia="Arial" w:hAnsi="Arial"/>
          <w:sz w:val="22"/>
          <w:szCs w:val="22"/>
        </w:rPr>
        <w:t xml:space="preserve">For S/4HANA Cloud deployments, security responsibilities are shared between SAP and the customer: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rPr>
          <w:tblHeader/>
        </w:trPr>
        <w:tc>
          <w:tcPr>
            <w:tcW w:type="dxa" w:w="3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Security Domain</w:t>
            </w:r>
          </w:p>
        </w:tc>
        <w:tc>
          <w:tcPr>
            <w:tcW w:type="dxa" w:w="2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S/4HANA Cloud/RISE</w:t>
            </w:r>
          </w:p>
        </w:tc>
        <w:tc>
          <w:tcPr>
            <w:tcW w:type="dxa" w:w="30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FuelSphere (BTP)</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Physical Infrastructure</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Managed</w:t>
            </w:r>
          </w:p>
        </w:tc>
        <w:tc>
          <w:tcPr>
            <w:tcW w:type="dxa" w:w="3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Managed</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Network Perimeter</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Managed</w:t>
            </w:r>
          </w:p>
        </w:tc>
        <w:tc>
          <w:tcPr>
            <w:tcW w:type="dxa" w:w="3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Managed</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OS Patching</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Managed</w:t>
            </w:r>
          </w:p>
        </w:tc>
        <w:tc>
          <w:tcPr>
            <w:tcW w:type="dxa" w:w="3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Managed</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Database Security</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Managed</w:t>
            </w:r>
          </w:p>
        </w:tc>
        <w:tc>
          <w:tcPr>
            <w:tcW w:type="dxa" w:w="3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Managed</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Application Patching</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(quarterly)</w:t>
            </w:r>
          </w:p>
        </w:tc>
        <w:tc>
          <w:tcPr>
            <w:tcW w:type="dxa" w:w="3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Customer Managed</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Identity Management</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Customer Managed</w:t>
            </w:r>
          </w:p>
        </w:tc>
        <w:tc>
          <w:tcPr>
            <w:tcW w:type="dxa" w:w="3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Customer Managed</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User Access Control</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Customer Managed</w:t>
            </w:r>
          </w:p>
        </w:tc>
        <w:tc>
          <w:tcPr>
            <w:tcW w:type="dxa" w:w="3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Customer Managed</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Business Role Assignment</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Customer Managed</w:t>
            </w:r>
          </w:p>
        </w:tc>
        <w:tc>
          <w:tcPr>
            <w:tcW w:type="dxa" w:w="3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Customer Managed</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Data Classification</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Customer Managed</w:t>
            </w:r>
          </w:p>
        </w:tc>
        <w:tc>
          <w:tcPr>
            <w:tcW w:type="dxa" w:w="3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Customer Managed</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Audit Log Review</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Customer Managed</w:t>
            </w:r>
          </w:p>
        </w:tc>
        <w:tc>
          <w:tcPr>
            <w:tcW w:type="dxa" w:w="3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Customer Managed</w:t>
            </w:r>
          </w:p>
        </w:tc>
      </w:tr>
    </w:tbl>
    <w:p>
      <w:pPr>
        <w:pStyle w:val="Heading2"/>
        <w:spacing w:before="240" w:after="160"/>
      </w:pPr>
      <w:r>
        <w:rPr>
          <w:rFonts w:ascii="Arial" w:cs="Arial" w:eastAsia="Arial" w:hAnsi="Arial"/>
          <w:b/>
          <w:bCs/>
          <w:color w:val="1F4E79"/>
          <w:sz w:val="26"/>
          <w:szCs w:val="26"/>
        </w:rPr>
        <w:t xml:space="preserve">8.1 SAP Security Certifications</w:t>
      </w:r>
    </w:p>
    <w:p>
      <w:pPr>
        <w:spacing w:after="120"/>
      </w:pPr>
      <w:r>
        <w:rPr>
          <w:rFonts w:ascii="Arial" w:cs="Arial" w:eastAsia="Arial" w:hAnsi="Arial"/>
          <w:sz w:val="22"/>
          <w:szCs w:val="22"/>
        </w:rPr>
        <w:t xml:space="preserve">S/4HANA Cloud and SAP BTP maintain certifications supporting FuelSphere compliance:</w:t>
      </w:r>
    </w:p>
    <w:p>
      <w:pPr>
        <w:pStyle w:val="ListParagraph"/>
        <w:numPr>
          <w:ilvl w:val="0"/>
          <w:numId w:val="1"/>
        </w:numPr>
        <w:spacing w:after="80"/>
      </w:pPr>
      <w:r>
        <w:rPr>
          <w:rFonts w:ascii="Arial" w:cs="Arial" w:eastAsia="Arial" w:hAnsi="Arial"/>
          <w:sz w:val="22"/>
          <w:szCs w:val="22"/>
        </w:rPr>
        <w:t xml:space="preserve">SOC 1 Type II and SOC 2 Type II</w:t>
      </w:r>
    </w:p>
    <w:p>
      <w:pPr>
        <w:pStyle w:val="ListParagraph"/>
        <w:numPr>
          <w:ilvl w:val="0"/>
          <w:numId w:val="1"/>
        </w:numPr>
        <w:spacing w:after="80"/>
      </w:pPr>
      <w:r>
        <w:rPr>
          <w:rFonts w:ascii="Arial" w:cs="Arial" w:eastAsia="Arial" w:hAnsi="Arial"/>
          <w:sz w:val="22"/>
          <w:szCs w:val="22"/>
        </w:rPr>
        <w:t xml:space="preserve">ISO 27001, ISO 27017, ISO 27018</w:t>
      </w:r>
    </w:p>
    <w:p>
      <w:pPr>
        <w:pStyle w:val="ListParagraph"/>
        <w:numPr>
          <w:ilvl w:val="0"/>
          <w:numId w:val="1"/>
        </w:numPr>
        <w:spacing w:after="80"/>
      </w:pPr>
      <w:r>
        <w:rPr>
          <w:rFonts w:ascii="Arial" w:cs="Arial" w:eastAsia="Arial" w:hAnsi="Arial"/>
          <w:sz w:val="22"/>
          <w:szCs w:val="22"/>
        </w:rPr>
        <w:t xml:space="preserve">CSA STAR Level 2</w:t>
      </w:r>
    </w:p>
    <w:p>
      <w:pPr>
        <w:pStyle w:val="ListParagraph"/>
        <w:numPr>
          <w:ilvl w:val="0"/>
          <w:numId w:val="1"/>
        </w:numPr>
        <w:spacing w:after="80"/>
      </w:pPr>
      <w:r>
        <w:rPr>
          <w:rFonts w:ascii="Arial" w:cs="Arial" w:eastAsia="Arial" w:hAnsi="Arial"/>
          <w:sz w:val="22"/>
          <w:szCs w:val="22"/>
        </w:rPr>
        <w:t xml:space="preserve">GDPR compliance attestation</w:t>
      </w:r>
    </w:p>
    <w:p>
      <w:r>
        <w:br w:type="page"/>
      </w:r>
    </w:p>
    <w:p>
      <w:pPr>
        <w:pStyle w:val="Heading1"/>
        <w:spacing w:before="300" w:after="200"/>
      </w:pPr>
      <w:r>
        <w:rPr>
          <w:rFonts w:ascii="Arial" w:cs="Arial" w:eastAsia="Arial" w:hAnsi="Arial"/>
          <w:b/>
          <w:bCs/>
          <w:color w:val="1F4E79"/>
          <w:sz w:val="32"/>
          <w:szCs w:val="32"/>
        </w:rPr>
        <w:t xml:space="preserve">9. Compliance Controls</w:t>
      </w:r>
    </w:p>
    <w:p>
      <w:pPr>
        <w:pStyle w:val="Heading2"/>
        <w:spacing w:before="240" w:after="160"/>
      </w:pPr>
      <w:r>
        <w:rPr>
          <w:rFonts w:ascii="Arial" w:cs="Arial" w:eastAsia="Arial" w:hAnsi="Arial"/>
          <w:b/>
          <w:bCs/>
          <w:color w:val="1F4E79"/>
          <w:sz w:val="26"/>
          <w:szCs w:val="26"/>
        </w:rPr>
        <w:t xml:space="preserve">9.1 SOX Section 404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800"/>
        <w:gridCol w:w="3160"/>
      </w:tblGrid>
      <w:tr>
        <w:trPr>
          <w:tblHeader/>
        </w:trPr>
        <w:tc>
          <w:tcPr>
            <w:tcW w:type="dxa" w:w="1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Control</w:t>
            </w:r>
          </w:p>
        </w:tc>
        <w:tc>
          <w:tcPr>
            <w:tcW w:type="dxa" w:w="2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Requirement</w:t>
            </w:r>
          </w:p>
        </w:tc>
        <w:tc>
          <w:tcPr>
            <w:tcW w:type="dxa" w:w="2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Implementation</w:t>
            </w:r>
          </w:p>
        </w:tc>
        <w:tc>
          <w:tcPr>
            <w:tcW w:type="dxa" w:w="31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Evidence (Cloud)</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SOX-001</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Access Control</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RBAC via XSUAA + Business Roles</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Maintain Business Users app</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SOX-002</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Segregation of Duties</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SoD matrix, workflow approvals</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IAM Apps SoD checks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SOX-003</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Audit Trail</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All transactions logged</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Security Audit Log app</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SOX-004</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Change Management</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SAP-managed updates</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release notes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SOX-005</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Data Integrity</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Validation rules, checksums</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Validation reports</w:t>
            </w:r>
          </w:p>
        </w:tc>
      </w:tr>
      <w:tr>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FPE-001</w:t>
            </w:r>
          </w:p>
        </w:tc>
        <w:tc>
          <w:tcPr>
            <w:tcW w:type="dxa" w:w="2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Formula Segregation (NEW)</w:t>
            </w:r>
          </w:p>
        </w:tc>
        <w:tc>
          <w:tcPr>
            <w:tcW w:type="dxa" w:w="2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Creator ≠ Approver workflow</w:t>
            </w:r>
          </w:p>
        </w:tc>
        <w:tc>
          <w:tcPr>
            <w:tcW w:type="dxa" w:w="31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PricingFormula audit trail</w:t>
            </w:r>
          </w:p>
        </w:tc>
      </w:tr>
      <w:tr>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FPE-002</w:t>
            </w:r>
          </w:p>
        </w:tc>
        <w:tc>
          <w:tcPr>
            <w:tcW w:type="dxa" w:w="2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Index Verification (NEW)</w:t>
            </w:r>
          </w:p>
        </w:tc>
        <w:tc>
          <w:tcPr>
            <w:tcW w:type="dxa" w:w="2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Separate import/derivation users</w:t>
            </w:r>
          </w:p>
        </w:tc>
        <w:tc>
          <w:tcPr>
            <w:tcW w:type="dxa" w:w="31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PriceDerivationLog records</w:t>
            </w:r>
          </w:p>
        </w:tc>
      </w:tr>
      <w:tr>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FPE-003</w:t>
            </w:r>
          </w:p>
        </w:tc>
        <w:tc>
          <w:tcPr>
            <w:tcW w:type="dxa" w:w="2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Formula Versioning (NEW)</w:t>
            </w:r>
          </w:p>
        </w:tc>
        <w:tc>
          <w:tcPr>
            <w:tcW w:type="dxa" w:w="2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 delete, version tracking</w:t>
            </w:r>
          </w:p>
        </w:tc>
        <w:tc>
          <w:tcPr>
            <w:tcW w:type="dxa" w:w="31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PricingFormula version history</w:t>
            </w:r>
          </w:p>
        </w:tc>
      </w:tr>
      <w:tr>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FPE-004</w:t>
            </w:r>
          </w:p>
        </w:tc>
        <w:tc>
          <w:tcPr>
            <w:tcW w:type="dxa" w:w="2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Index Validation (NEW)</w:t>
            </w:r>
          </w:p>
        </w:tc>
        <w:tc>
          <w:tcPr>
            <w:tcW w:type="dxa" w:w="2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Manual verification requirement</w:t>
            </w:r>
          </w:p>
        </w:tc>
        <w:tc>
          <w:tcPr>
            <w:tcW w:type="dxa" w:w="31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MarketIndexValue.isVerified</w:t>
            </w:r>
          </w:p>
        </w:tc>
      </w:tr>
    </w:tbl>
    <w:p>
      <w:pPr>
        <w:pStyle w:val="Heading2"/>
        <w:spacing w:before="240" w:after="160"/>
      </w:pPr>
      <w:r>
        <w:rPr>
          <w:rFonts w:ascii="Arial" w:cs="Arial" w:eastAsia="Arial" w:hAnsi="Arial"/>
          <w:b/>
          <w:bCs/>
          <w:color w:val="1F4E79"/>
          <w:sz w:val="26"/>
          <w:szCs w:val="26"/>
        </w:rPr>
        <w:t xml:space="preserve">9.2 GDPR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Right</w:t>
            </w:r>
          </w:p>
        </w:tc>
        <w:tc>
          <w:tcPr>
            <w:tcW w:type="dxa" w:w="3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Implementation</w:t>
            </w:r>
          </w:p>
        </w:tc>
        <w:tc>
          <w:tcPr>
            <w:tcW w:type="dxa" w:w="3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Technical Control</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Right to Access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Data export API</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Self-service download</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Right to Rectification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Edit with audit trail</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Profile update logging</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Right to Erasure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Anonymization procedures</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Data anonymization service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Data Minimization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Only required data collected</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Field requirements analysis</w:t>
            </w:r>
          </w:p>
        </w:tc>
      </w:tr>
    </w:tbl>
    <w:p>
      <w:pPr>
        <w:pStyle w:val="Heading2"/>
        <w:spacing w:before="240" w:after="160"/>
      </w:pPr>
      <w:r>
        <w:rPr>
          <w:rFonts w:ascii="Arial" w:cs="Arial" w:eastAsia="Arial" w:hAnsi="Arial"/>
          <w:b/>
          <w:bCs/>
          <w:color w:val="1F4E79"/>
          <w:sz w:val="26"/>
          <w:szCs w:val="26"/>
        </w:rPr>
        <w:t xml:space="preserve">9.3 Data Residency</w:t>
      </w:r>
    </w:p>
    <w:p>
      <w:pPr>
        <w:spacing w:after="120"/>
      </w:pPr>
      <w:r>
        <w:rPr>
          <w:rFonts w:ascii="Arial" w:cs="Arial" w:eastAsia="Arial" w:hAnsi="Arial"/>
          <w:sz w:val="22"/>
          <w:szCs w:val="22"/>
        </w:rPr>
        <w:t xml:space="preserve">S/4HANA Cloud data center selection must align with GDPR requirements:</w:t>
      </w:r>
    </w:p>
    <w:p>
      <w:pPr>
        <w:pStyle w:val="ListParagraph"/>
        <w:numPr>
          <w:ilvl w:val="0"/>
          <w:numId w:val="1"/>
        </w:numPr>
        <w:spacing w:after="80"/>
      </w:pPr>
      <w:r>
        <w:rPr>
          <w:rFonts w:ascii="Arial" w:cs="Arial" w:eastAsia="Arial" w:hAnsi="Arial"/>
          <w:sz w:val="22"/>
          <w:szCs w:val="22"/>
        </w:rPr>
        <w:t xml:space="preserve">EU data centers: Frankfurt, Amsterdam, Dublin</w:t>
      </w:r>
    </w:p>
    <w:p>
      <w:pPr>
        <w:pStyle w:val="ListParagraph"/>
        <w:numPr>
          <w:ilvl w:val="0"/>
          <w:numId w:val="1"/>
        </w:numPr>
        <w:spacing w:after="80"/>
      </w:pPr>
      <w:r>
        <w:rPr>
          <w:rFonts w:ascii="Arial" w:cs="Arial" w:eastAsia="Arial" w:hAnsi="Arial"/>
          <w:sz w:val="22"/>
          <w:szCs w:val="22"/>
        </w:rPr>
        <w:t xml:space="preserve">BTP subaccount region must match S/4HANA data center region</w:t>
      </w:r>
    </w:p>
    <w:p>
      <w:pPr>
        <w:pStyle w:val="ListParagraph"/>
        <w:numPr>
          <w:ilvl w:val="0"/>
          <w:numId w:val="1"/>
        </w:numPr>
        <w:spacing w:after="80"/>
      </w:pPr>
      <w:r>
        <w:rPr>
          <w:rFonts w:ascii="Arial" w:cs="Arial" w:eastAsia="Arial" w:hAnsi="Arial"/>
          <w:sz w:val="22"/>
          <w:szCs w:val="22"/>
        </w:rPr>
        <w:t xml:space="preserve">Cross-region transfer requires appropriate legal basis</w:t>
      </w:r>
    </w:p>
    <w:p>
      <w:r>
        <w:br w:type="page"/>
      </w:r>
    </w:p>
    <w:p>
      <w:pPr>
        <w:pStyle w:val="Heading1"/>
        <w:spacing w:before="300" w:after="200"/>
      </w:pPr>
      <w:r>
        <w:rPr>
          <w:rFonts w:ascii="Arial" w:cs="Arial" w:eastAsia="Arial" w:hAnsi="Arial"/>
          <w:b/>
          <w:bCs/>
          <w:color w:val="2E7D32"/>
          <w:sz w:val="32"/>
          <w:szCs w:val="32"/>
        </w:rPr>
        <w:t xml:space="preserve">10. Data Classification</w:t>
      </w:r>
    </w:p>
    <w:p>
      <w:pPr>
        <w:spacing w:after="120"/>
      </w:pPr>
      <w:r>
        <w:rPr>
          <w:rFonts w:ascii="Arial" w:cs="Arial" w:eastAsia="Arial" w:hAnsi="Arial"/>
          <w:sz w:val="22"/>
          <w:szCs w:val="22"/>
        </w:rPr>
        <w:t xml:space="preserve">Version 2.1 introduces data classification for pricing entities to ensure appropriate security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200"/>
        <w:gridCol w:w="4360"/>
      </w:tblGrid>
      <w:tr>
        <w:trPr>
          <w:tblHeader/>
        </w:trPr>
        <w:tc>
          <w:tcPr>
            <w:tcW w:type="dxa" w:w="23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Entity</w:t>
            </w:r>
          </w:p>
        </w:tc>
        <w:tc>
          <w:tcPr>
            <w:tcW w:type="dxa" w:w="1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Classification</w:t>
            </w:r>
          </w:p>
        </w:tc>
        <w:tc>
          <w:tcPr>
            <w:tcW w:type="dxa" w:w="1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Sensitivity</w:t>
            </w:r>
          </w:p>
        </w:tc>
        <w:tc>
          <w:tcPr>
            <w:tcW w:type="dxa" w:w="4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Access Control</w:t>
            </w:r>
          </w:p>
        </w:tc>
      </w:tr>
      <w:tr>
        <w:tc>
          <w:tcPr>
            <w:tcW w:type="dxa" w:w="23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PricingConfiguration</w:t>
            </w:r>
          </w:p>
        </w:tc>
        <w:tc>
          <w:tcPr>
            <w:tcW w:type="dxa" w:w="1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Internal</w:t>
            </w:r>
          </w:p>
        </w:tc>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Medium</w:t>
            </w:r>
          </w:p>
        </w:tc>
        <w:tc>
          <w:tcPr>
            <w:tcW w:type="dxa" w:w="43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Restricted to Pricing roles</w:t>
            </w:r>
          </w:p>
        </w:tc>
      </w:tr>
      <w:tr>
        <w:tc>
          <w:tcPr>
            <w:tcW w:type="dxa" w:w="23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PricingFormula</w:t>
            </w:r>
          </w:p>
        </w:tc>
        <w:tc>
          <w:tcPr>
            <w:tcW w:type="dxa" w:w="1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Confidential</w:t>
            </w:r>
          </w:p>
        </w:tc>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High</w:t>
            </w:r>
          </w:p>
        </w:tc>
        <w:tc>
          <w:tcPr>
            <w:tcW w:type="dxa" w:w="43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Formula creators and approvers only</w:t>
            </w:r>
          </w:p>
        </w:tc>
      </w:tr>
      <w:tr>
        <w:tc>
          <w:tcPr>
            <w:tcW w:type="dxa" w:w="23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FormulaComponent</w:t>
            </w:r>
          </w:p>
        </w:tc>
        <w:tc>
          <w:tcPr>
            <w:tcW w:type="dxa" w:w="1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Confidential</w:t>
            </w:r>
          </w:p>
        </w:tc>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High</w:t>
            </w:r>
          </w:p>
        </w:tc>
        <w:tc>
          <w:tcPr>
            <w:tcW w:type="dxa" w:w="43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Inherits from PricingFormula</w:t>
            </w:r>
          </w:p>
        </w:tc>
      </w:tr>
      <w:tr>
        <w:tc>
          <w:tcPr>
            <w:tcW w:type="dxa" w:w="23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MarketIndex</w:t>
            </w:r>
          </w:p>
        </w:tc>
        <w:tc>
          <w:tcPr>
            <w:tcW w:type="dxa" w:w="1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Internal</w:t>
            </w:r>
          </w:p>
        </w:tc>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Medium</w:t>
            </w:r>
          </w:p>
        </w:tc>
        <w:tc>
          <w:tcPr>
            <w:tcW w:type="dxa" w:w="43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Read: Multiple roles; Write: Index managers</w:t>
            </w:r>
          </w:p>
        </w:tc>
      </w:tr>
      <w:tr>
        <w:tc>
          <w:tcPr>
            <w:tcW w:type="dxa" w:w="23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MarketIndexValue</w:t>
            </w:r>
          </w:p>
        </w:tc>
        <w:tc>
          <w:tcPr>
            <w:tcW w:type="dxa" w:w="1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Confidential</w:t>
            </w:r>
          </w:p>
        </w:tc>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High</w:t>
            </w:r>
          </w:p>
        </w:tc>
        <w:tc>
          <w:tcPr>
            <w:tcW w:type="dxa" w:w="43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Contains market-sensitive pricing data</w:t>
            </w:r>
          </w:p>
        </w:tc>
      </w:tr>
      <w:tr>
        <w:tc>
          <w:tcPr>
            <w:tcW w:type="dxa" w:w="23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DerivedPrice</w:t>
            </w:r>
          </w:p>
        </w:tc>
        <w:tc>
          <w:tcPr>
            <w:tcW w:type="dxa" w:w="1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Confidential</w:t>
            </w:r>
          </w:p>
        </w:tc>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High</w:t>
            </w:r>
          </w:p>
        </w:tc>
        <w:tc>
          <w:tcPr>
            <w:tcW w:type="dxa" w:w="43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Calculated prices - financial impact</w:t>
            </w:r>
          </w:p>
        </w:tc>
      </w:tr>
      <w:tr>
        <w:tc>
          <w:tcPr>
            <w:tcW w:type="dxa" w:w="23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PriceDerivationLog</w:t>
            </w:r>
          </w:p>
        </w:tc>
        <w:tc>
          <w:tcPr>
            <w:tcW w:type="dxa" w:w="1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Internal</w:t>
            </w:r>
          </w:p>
        </w:tc>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Medium</w:t>
            </w:r>
          </w:p>
        </w:tc>
        <w:tc>
          <w:tcPr>
            <w:tcW w:type="dxa" w:w="43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Audit trail - read-only except system</w:t>
            </w:r>
          </w:p>
        </w:tc>
      </w:tr>
    </w:tbl>
    <w:p>
      <w:r>
        <w:br w:type="page"/>
      </w:r>
    </w:p>
    <w:p>
      <w:pPr>
        <w:pStyle w:val="Heading1"/>
        <w:spacing w:before="300" w:after="200"/>
      </w:pPr>
      <w:r>
        <w:rPr>
          <w:rFonts w:ascii="Arial" w:cs="Arial" w:eastAsia="Arial" w:hAnsi="Arial"/>
          <w:b/>
          <w:bCs/>
          <w:color w:val="1F4E79"/>
          <w:sz w:val="32"/>
          <w:szCs w:val="32"/>
        </w:rPr>
        <w:t xml:space="preserve">11. Audit Logging</w:t>
      </w:r>
    </w:p>
    <w:p>
      <w:pPr>
        <w:pStyle w:val="Heading2"/>
        <w:spacing w:before="240" w:after="160"/>
      </w:pPr>
      <w:r>
        <w:rPr>
          <w:rFonts w:ascii="Arial" w:cs="Arial" w:eastAsia="Arial" w:hAnsi="Arial"/>
          <w:b/>
          <w:bCs/>
          <w:color w:val="1F4E79"/>
          <w:sz w:val="26"/>
          <w:szCs w:val="26"/>
        </w:rPr>
        <w:t xml:space="preserve">11.1 FuelSphere Audit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Event Category</w:t>
            </w:r>
          </w:p>
        </w:tc>
        <w:tc>
          <w:tcPr>
            <w:tcW w:type="dxa" w:w="4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Events Logged</w:t>
            </w:r>
          </w:p>
        </w:tc>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Retention</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Authentication</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Login success/failure, logout, timeout</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90 days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Authorization</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Access granted/denied, role changes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7 years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Data Changes</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Create, update, delete with before/after</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7 years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Financial Transactions</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Invoice posting, approvals, GR/IR</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 years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Security Events</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Privilege escalation, SoD violations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7 years</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Pricing Events (NEW)</w:t>
            </w:r>
          </w:p>
        </w:tc>
        <w:tc>
          <w:tcPr>
            <w:tcW w:type="dxa" w:w="43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Formula changes, index imports, price derivations</w:t>
            </w:r>
          </w:p>
        </w:tc>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10 years</w:t>
            </w:r>
          </w:p>
        </w:tc>
      </w:tr>
    </w:tbl>
    <w:p>
      <w:pPr>
        <w:pStyle w:val="Heading2"/>
        <w:spacing w:before="240" w:after="160"/>
      </w:pPr>
      <w:r>
        <w:rPr>
          <w:rFonts w:ascii="Arial" w:cs="Arial" w:eastAsia="Arial" w:hAnsi="Arial"/>
          <w:b/>
          <w:bCs/>
          <w:color w:val="1F4E79"/>
          <w:sz w:val="26"/>
          <w:szCs w:val="26"/>
        </w:rPr>
        <w:t xml:space="preserve">11.2 S/4HANA Cloud Audit Access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Audit Capability</w:t>
            </w:r>
          </w:p>
        </w:tc>
        <w:tc>
          <w:tcPr>
            <w:tcW w:type="dxa" w:w="3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S/4HANA Cloud App</w:t>
            </w:r>
          </w:p>
        </w:tc>
        <w:tc>
          <w:tcPr>
            <w:tcW w:type="dxa" w:w="3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Access Method</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Security Audit Log</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Security Audit Log App</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Fiori app (admin role)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Read Access Logging</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RAL Configuration &amp; Monitor</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Fiori app + API</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Change Documents</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Display Change Documents</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Fiori app + OData API</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API Call Logging</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Communication Management</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Comm. Arrangement monitor</w:t>
            </w:r>
          </w:p>
        </w:tc>
      </w:tr>
    </w:tbl>
    <w:p>
      <w:r>
        <w:br w:type="page"/>
      </w:r>
    </w:p>
    <w:p>
      <w:pPr>
        <w:pStyle w:val="Heading1"/>
        <w:spacing w:before="300" w:after="200"/>
      </w:pPr>
      <w:r>
        <w:rPr>
          <w:rFonts w:ascii="Arial" w:cs="Arial" w:eastAsia="Arial" w:hAnsi="Arial"/>
          <w:b/>
          <w:bCs/>
          <w:color w:val="1F4E79"/>
          <w:sz w:val="32"/>
          <w:szCs w:val="32"/>
        </w:rPr>
        <w:t xml:space="preserve">12. Security Monitoring</w:t>
      </w:r>
    </w:p>
    <w:p>
      <w:pPr>
        <w:pStyle w:val="Heading2"/>
        <w:spacing w:before="240" w:after="160"/>
      </w:pPr>
      <w:r>
        <w:rPr>
          <w:rFonts w:ascii="Arial" w:cs="Arial" w:eastAsia="Arial" w:hAnsi="Arial"/>
          <w:b/>
          <w:bCs/>
          <w:color w:val="1F4E79"/>
          <w:sz w:val="26"/>
          <w:szCs w:val="26"/>
        </w:rPr>
        <w:t xml:space="preserve">12.1 Security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000"/>
        <w:gridCol w:w="2860"/>
      </w:tblGrid>
      <w:tr>
        <w:trPr>
          <w:tblHeader/>
        </w:trPr>
        <w:tc>
          <w:tcPr>
            <w:tcW w:type="dxa" w:w="3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Metric</w:t>
            </w:r>
          </w:p>
        </w:tc>
        <w:tc>
          <w:tcPr>
            <w:tcW w:type="dxa" w:w="1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Target</w:t>
            </w:r>
          </w:p>
        </w:tc>
        <w:tc>
          <w:tcPr>
            <w:tcW w:type="dxa" w:w="2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Alert Threshold</w:t>
            </w:r>
          </w:p>
        </w:tc>
        <w:tc>
          <w:tcPr>
            <w:tcW w:type="dxa" w:w="2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Frequency</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Failed login attempts per user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&lt; 5/day</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&gt; 3 consecutive</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Real-time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Privilege escalation attempts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Any occurrence</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Real-time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SoD violations detected</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Any occurrence</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Daily</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Unauthorized access attempts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Any occurrence</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Real-time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Certificate expiration</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&gt; 30 days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&lt; 30 days</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Daily</w:t>
            </w:r>
          </w:p>
        </w:tc>
      </w:tr>
      <w:tr>
        <w:tc>
          <w:tcPr>
            <w:tcW w:type="dxa" w:w="3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Formula approval without review (NEW)</w:t>
            </w:r>
          </w:p>
        </w:tc>
        <w:tc>
          <w:tcPr>
            <w:tcW w:type="dxa" w:w="1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0</w:t>
            </w:r>
          </w:p>
        </w:tc>
        <w:tc>
          <w:tcPr>
            <w:tcW w:type="dxa" w:w="2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Any occurrence</w:t>
            </w:r>
          </w:p>
        </w:tc>
        <w:tc>
          <w:tcPr>
            <w:tcW w:type="dxa" w:w="2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Real-time</w:t>
            </w:r>
          </w:p>
        </w:tc>
      </w:tr>
      <w:tr>
        <w:tc>
          <w:tcPr>
            <w:tcW w:type="dxa" w:w="3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Index import anomalies (NEW)</w:t>
            </w:r>
          </w:p>
        </w:tc>
        <w:tc>
          <w:tcPr>
            <w:tcW w:type="dxa" w:w="1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0</w:t>
            </w:r>
          </w:p>
        </w:tc>
        <w:tc>
          <w:tcPr>
            <w:tcW w:type="dxa" w:w="2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&gt; 10% variance</w:t>
            </w:r>
          </w:p>
        </w:tc>
        <w:tc>
          <w:tcPr>
            <w:tcW w:type="dxa" w:w="2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Real-time</w:t>
            </w:r>
          </w:p>
        </w:tc>
      </w:tr>
    </w:tbl>
    <w:p>
      <w:pPr>
        <w:pStyle w:val="Heading2"/>
        <w:spacing w:before="240" w:after="160"/>
      </w:pPr>
      <w:r>
        <w:rPr>
          <w:rFonts w:ascii="Arial" w:cs="Arial" w:eastAsia="Arial" w:hAnsi="Arial"/>
          <w:b/>
          <w:bCs/>
          <w:color w:val="1F4E79"/>
          <w:sz w:val="26"/>
          <w:szCs w:val="26"/>
        </w:rPr>
        <w:t xml:space="preserve">12.2 Incident Response SLAs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Initial Response</w:t>
            </w:r>
          </w:p>
        </w:tc>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Containment</w:t>
            </w:r>
          </w:p>
        </w:tc>
        <w:tc>
          <w:tcPr>
            <w:tcW w:type="dxa" w:w="2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Resolution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15 minutes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 hour</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 hours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High</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 hour</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 hours</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24 hours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 hours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24 hours</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72 hours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Low</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24 hours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72 hours</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 week</w:t>
            </w:r>
          </w:p>
        </w:tc>
      </w:tr>
    </w:tbl>
    <w:p>
      <w:r>
        <w:br w:type="page"/>
      </w:r>
    </w:p>
    <w:p>
      <w:pPr>
        <w:pStyle w:val="Heading1"/>
        <w:spacing w:before="300" w:after="200"/>
      </w:pPr>
      <w:r>
        <w:rPr>
          <w:rFonts w:ascii="Arial" w:cs="Arial" w:eastAsia="Arial" w:hAnsi="Arial"/>
          <w:b/>
          <w:bCs/>
          <w:color w:val="1F4E79"/>
          <w:sz w:val="32"/>
          <w:szCs w:val="32"/>
        </w:rPr>
        <w:t xml:space="preserve">13. Appendices</w:t>
      </w:r>
    </w:p>
    <w:p>
      <w:pPr>
        <w:pStyle w:val="Heading2"/>
        <w:spacing w:before="240" w:after="160"/>
      </w:pPr>
      <w:r>
        <w:rPr>
          <w:rFonts w:ascii="Arial" w:cs="Arial" w:eastAsia="Arial" w:hAnsi="Arial"/>
          <w:b/>
          <w:bCs/>
          <w:color w:val="1F4E79"/>
          <w:sz w:val="26"/>
          <w:szCs w:val="26"/>
        </w:rPr>
        <w:t xml:space="preserve">13.1 Appendix A: xs-security.json</w:t>
      </w:r>
    </w:p>
    <w:p>
      <w:pPr>
        <w:spacing w:after="120"/>
      </w:pPr>
      <w:r>
        <w:rPr>
          <w:rFonts w:ascii="Arial" w:cs="Arial" w:eastAsia="Arial" w:hAnsi="Arial"/>
          <w:sz w:val="22"/>
          <w:szCs w:val="22"/>
        </w:rPr>
        <w:t xml:space="preserve">Complete XSUAA configuration file with all scopes, role templates, and role collections including v2.1 pricing additions.</w:t>
      </w:r>
    </w:p>
    <w:p>
      <w:pPr>
        <w:spacing w:after="120"/>
      </w:pPr>
      <w:r>
        <w:rPr>
          <w:rFonts w:ascii="Arial" w:cs="Arial" w:eastAsia="Arial" w:hAnsi="Arial"/>
          <w:sz w:val="22"/>
          <w:szCs w:val="22"/>
        </w:rPr>
        <w:t xml:space="preserve">See accompanying file: FS-FND-003-A_xs-security_v1_1.json</w:t>
      </w:r>
    </w:p>
    <w:p>
      <w:pPr>
        <w:pStyle w:val="Heading2"/>
        <w:spacing w:before="240" w:after="160"/>
      </w:pPr>
      <w:r>
        <w:rPr>
          <w:rFonts w:ascii="Arial" w:cs="Arial" w:eastAsia="Arial" w:hAnsi="Arial"/>
          <w:b/>
          <w:bCs/>
          <w:color w:val="1F4E79"/>
          <w:sz w:val="26"/>
          <w:szCs w:val="26"/>
        </w:rPr>
        <w:t xml:space="preserve">13.2 Appendix B: CDS Authorization Annotations</w:t>
      </w:r>
    </w:p>
    <w:p>
      <w:pPr>
        <w:spacing w:after="120"/>
      </w:pPr>
      <w:r>
        <w:rPr>
          <w:rFonts w:ascii="Arial" w:cs="Arial" w:eastAsia="Arial" w:hAnsi="Arial"/>
          <w:sz w:val="22"/>
          <w:szCs w:val="22"/>
        </w:rPr>
        <w:t xml:space="preserve">CDS authorization annotations for all FuelSphere services including pricing entities.</w:t>
      </w:r>
    </w:p>
    <w:p>
      <w:pPr>
        <w:spacing w:after="120"/>
      </w:pPr>
      <w:r>
        <w:rPr>
          <w:rFonts w:ascii="Arial" w:cs="Arial" w:eastAsia="Arial" w:hAnsi="Arial"/>
          <w:sz w:val="22"/>
          <w:szCs w:val="22"/>
        </w:rPr>
        <w:t xml:space="preserve">See accompanying file: FS-FND-003-B_authorization.cds</w:t>
      </w:r>
    </w:p>
    <w:p>
      <w:pPr>
        <w:pStyle w:val="Heading2"/>
        <w:spacing w:before="240" w:after="160"/>
      </w:pPr>
      <w:r>
        <w:rPr>
          <w:rFonts w:ascii="Arial" w:cs="Arial" w:eastAsia="Arial" w:hAnsi="Arial"/>
          <w:b/>
          <w:bCs/>
          <w:color w:val="1F4E79"/>
          <w:sz w:val="26"/>
          <w:szCs w:val="26"/>
        </w:rPr>
        <w:t xml:space="preserve">13.3 Appendix C: Communication Arrangement Setup Guide</w:t>
      </w:r>
    </w:p>
    <w:p>
      <w:pPr>
        <w:spacing w:after="120"/>
      </w:pPr>
      <w:r>
        <w:rPr>
          <w:rFonts w:ascii="Arial" w:cs="Arial" w:eastAsia="Arial" w:hAnsi="Arial"/>
          <w:sz w:val="22"/>
          <w:szCs w:val="22"/>
        </w:rPr>
        <w:t xml:space="preserve">Step-by-step guide for configuring S/4HANA Cloud Communication Arrangements.</w:t>
      </w:r>
    </w:p>
    <w:p>
      <w:pPr>
        <w:spacing w:after="120"/>
      </w:pPr>
      <w:r>
        <w:rPr>
          <w:rFonts w:ascii="Arial" w:cs="Arial" w:eastAsia="Arial" w:hAnsi="Arial"/>
          <w:sz w:val="22"/>
          <w:szCs w:val="22"/>
        </w:rPr>
        <w:t xml:space="preserve">See accompanying file: FS-FND-003-C_Communication_Setup.docx</w:t>
      </w:r>
    </w:p>
    <w:p>
      <w:pPr>
        <w:pStyle w:val="Heading2"/>
        <w:spacing w:before="240" w:after="160"/>
      </w:pPr>
      <w:r>
        <w:rPr>
          <w:rFonts w:ascii="Arial" w:cs="Arial" w:eastAsia="Arial" w:hAnsi="Arial"/>
          <w:b/>
          <w:bCs/>
          <w:color w:val="1F4E79"/>
          <w:sz w:val="26"/>
          <w:szCs w:val="26"/>
        </w:rPr>
        <w:t xml:space="preserve">13.4 Appendix D: Business Role Configuration</w:t>
      </w:r>
    </w:p>
    <w:p>
      <w:pPr>
        <w:spacing w:after="120"/>
      </w:pPr>
      <w:r>
        <w:rPr>
          <w:rFonts w:ascii="Arial" w:cs="Arial" w:eastAsia="Arial" w:hAnsi="Arial"/>
          <w:sz w:val="22"/>
          <w:szCs w:val="22"/>
        </w:rPr>
        <w:t xml:space="preserve">S/4HANA Cloud Business Role templates and restriction type configuration.</w:t>
      </w:r>
    </w:p>
    <w:p>
      <w:pPr>
        <w:spacing w:after="120"/>
      </w:pPr>
      <w:r>
        <w:rPr>
          <w:rFonts w:ascii="Arial" w:cs="Arial" w:eastAsia="Arial" w:hAnsi="Arial"/>
          <w:sz w:val="22"/>
          <w:szCs w:val="22"/>
        </w:rPr>
        <w:t xml:space="preserve">See accompanying file: FS-FND-003-D_Business_Roles.xlsx</w:t>
      </w:r>
    </w:p>
    <w:p>
      <w:pPr>
        <w:spacing w:before="400" w:after="200"/>
      </w:pPr>
    </w:p>
    <w:p>
      <w:pPr>
        <w:jc w:val="center"/>
      </w:pPr>
      <w:r>
        <w:rPr>
          <w:rFonts w:ascii="Arial" w:cs="Arial" w:eastAsia="Arial" w:hAnsi="Arial"/>
          <w:i/>
          <w:iCs/>
          <w:color w:val="66666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FuelSphere - Diligent Global | Confidential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FS-FND-003 | Security &amp; Authorization |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F4E79"/>
      <w:sz w:val="26"/>
      <w:szCs w:val="26"/>
    </w:rPr>
  </w:style>
  <w:style w:type="paragraph" w:styleId="Heading3">
    <w:name w:val="Heading 3"/>
    <w:basedOn w:val="Normal"/>
    <w:next w:val="Normal"/>
    <w:qFormat/>
    <w:pPr>
      <w:spacing w:before="20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2026-01-18T02:13:20.780Z</dcterms:created>
  <dcterms:modified xsi:type="dcterms:W3CDTF">2026-01-18T02:13:20.781Z</dcterms:modified>
</cp:coreProperties>
</file>

<file path=docProps/custom.xml><?xml version="1.0" encoding="utf-8"?>
<Properties xmlns="http://schemas.openxmlformats.org/officeDocument/2006/custom-properties" xmlns:vt="http://schemas.openxmlformats.org/officeDocument/2006/docPropsVTypes"/>
</file>