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56"/>
          <w:szCs w:val="56"/>
        </w:rPr>
        <w:t xml:space="preserve">API ARCHITECTURE</w:t>
      </w:r>
    </w:p>
    <w:p>
      <w:pPr>
        <w:jc w:val="center"/>
      </w:pPr>
      <w:r>
        <w:rPr>
          <w:rFonts w:ascii="Arial" w:cs="Arial" w:eastAsia="Arial" w:hAnsi="Arial"/>
          <w:b/>
          <w:bCs/>
          <w:color w:val="1F4E79"/>
          <w:sz w:val="56"/>
          <w:szCs w:val="56"/>
        </w:rPr>
        <w:t xml:space="preserve">&amp; DESIGN DOCUMENT</w:t>
      </w:r>
    </w:p>
    <w:p>
      <w:pPr>
        <w:spacing w:before="400"/>
      </w:pPr>
    </w:p>
    <w:p>
      <w:pPr>
        <w:jc w:val="center"/>
      </w:pPr>
      <w:r>
        <w:rPr>
          <w:rFonts w:ascii="Arial" w:cs="Arial" w:eastAsia="Arial" w:hAnsi="Arial"/>
          <w:color w:val="2E75B6"/>
          <w:sz w:val="32"/>
          <w:szCs w:val="32"/>
        </w:rPr>
        <w:t xml:space="preserve">Well Cost Management Solution</w:t>
      </w:r>
    </w:p>
    <w:p>
      <w:pPr>
        <w:jc w:val="center"/>
      </w:pPr>
      <w:r>
        <w:rPr>
          <w:rFonts w:ascii="Arial" w:cs="Arial" w:eastAsia="Arial" w:hAnsi="Arial"/>
          <w:i/>
          <w:iCs/>
          <w:color w:val="5B9BD5"/>
          <w:sz w:val="28"/>
          <w:szCs w:val="28"/>
        </w:rPr>
        <w:t xml:space="preserve">SAP Business Technology Platform</w:t>
      </w:r>
    </w:p>
    <w:p>
      <w:pPr>
        <w:spacing w:before="15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IBU-ARCH-004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Architecture &amp; Design Document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2025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Solution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Cost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Accountable Agent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@cap-developer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For Review</w:t>
            </w:r>
          </w:p>
        </w:tc>
      </w:tr>
    </w:tbl>
    <w:p>
      <w:pPr>
        <w:spacing w:before="1000"/>
      </w:pPr>
    </w:p>
    <w:p>
      <w:pPr>
        <w:jc w:val="center"/>
      </w:pPr>
      <w:r>
        <w:rPr>
          <w:rFonts w:ascii="Arial" w:cs="Arial" w:eastAsia="Arial" w:hAnsi="Arial"/>
          <w:i/>
          <w:iCs/>
          <w:color w:val="808080"/>
          <w:sz w:val="22"/>
          <w:szCs w:val="22"/>
        </w:rPr>
        <w:t xml:space="preserve">Prepared by Industry Business Unit</w:t>
      </w:r>
    </w:p>
    <w:p>
      <w:r>
        <w:br w:type="page"/>
      </w:r>
    </w:p>
    <w:p>
      <w:pPr>
        <w:pStyle w:val="Heading1"/>
      </w:pPr>
      <w:r>
        <w:t xml:space="preserve">1. Executive Summary</w:t>
      </w:r>
    </w:p>
    <w:p>
      <w:pPr>
        <w:spacing w:after="200"/>
      </w:pPr>
      <w:r>
        <w:t xml:space="preserve">This API Architecture &amp; Design Document defines the comprehensive API strategy for the Well Cost Management solution built on SAP Business Technology Platform (BTP). It establishes standards, patterns, and specifications for all service interfaces including OData V4 services, REST APIs, event-driven integrations, and S/4HANA connectivity.</w:t>
      </w:r>
    </w:p>
    <w:p>
      <w:pPr>
        <w:spacing w:after="200"/>
      </w:pPr>
      <w:r>
        <w:t xml:space="preserve">The document serves as the authoritative reference for API design decisions, ensuring consistency across all 20 agents in the multi-agent architecture while maintaining compliance with SAP Clean Core principles and industry best practices.</w:t>
      </w:r>
    </w:p>
    <w:p>
      <w:pPr>
        <w:pStyle w:val="Heading2"/>
      </w:pPr>
      <w:r>
        <w:t xml:space="preserve">1.1 Scope</w:t>
      </w:r>
    </w:p>
    <w:p>
      <w:pPr>
        <w:spacing w:after="120"/>
      </w:pPr>
      <w:r>
        <w:t xml:space="preserve">This document covers:</w:t>
      </w:r>
    </w:p>
    <w:p>
      <w:pPr>
        <w:pStyle w:val="ListParagraph"/>
        <w:numPr>
          <w:ilvl w:val="0"/>
          <w:numId w:val="2"/>
        </w:numPr>
      </w:pPr>
      <w:r>
        <w:t xml:space="preserve">API design principles and standards</w:t>
      </w:r>
    </w:p>
    <w:p>
      <w:pPr>
        <w:pStyle w:val="ListParagraph"/>
        <w:numPr>
          <w:ilvl w:val="0"/>
          <w:numId w:val="2"/>
        </w:numPr>
      </w:pPr>
      <w:r>
        <w:t xml:space="preserve">OData V4 service specifications for all business domains</w:t>
      </w:r>
    </w:p>
    <w:p>
      <w:pPr>
        <w:pStyle w:val="ListParagraph"/>
        <w:numPr>
          <w:ilvl w:val="0"/>
          <w:numId w:val="2"/>
        </w:numPr>
      </w:pPr>
      <w:r>
        <w:t xml:space="preserve">REST API conventions and patterns</w:t>
      </w:r>
    </w:p>
    <w:p>
      <w:pPr>
        <w:pStyle w:val="ListParagraph"/>
        <w:numPr>
          <w:ilvl w:val="0"/>
          <w:numId w:val="2"/>
        </w:numPr>
      </w:pPr>
      <w:r>
        <w:t xml:space="preserve">S/4HANA integration API specifications</w:t>
      </w:r>
    </w:p>
    <w:p>
      <w:pPr>
        <w:pStyle w:val="ListParagraph"/>
        <w:numPr>
          <w:ilvl w:val="0"/>
          <w:numId w:val="2"/>
        </w:numPr>
      </w:pPr>
      <w:r>
        <w:t xml:space="preserve">Event-driven API design using SAP Event Mesh</w:t>
      </w:r>
    </w:p>
    <w:p>
      <w:pPr>
        <w:pStyle w:val="ListParagraph"/>
        <w:numPr>
          <w:ilvl w:val="0"/>
          <w:numId w:val="2"/>
        </w:numPr>
      </w:pPr>
      <w:r>
        <w:t xml:space="preserve">API security, versioning, and governance</w:t>
      </w:r>
    </w:p>
    <w:p>
      <w:pPr>
        <w:pStyle w:val="ListParagraph"/>
        <w:numPr>
          <w:ilvl w:val="0"/>
          <w:numId w:val="2"/>
        </w:numPr>
      </w:pPr>
      <w:r>
        <w:t xml:space="preserve">Error handling and response standards</w:t>
      </w:r>
    </w:p>
    <w:p>
      <w:pPr>
        <w:pStyle w:val="Heading2"/>
      </w:pPr>
      <w:r>
        <w:t xml:space="preserve">1.2 RACI Accountability</w:t>
      </w:r>
    </w:p>
    <w:p>
      <w:pPr>
        <w:spacing w:after="200"/>
      </w:pPr>
      <w:r>
        <w:t xml:space="preserve">Per the Well Cost Management RACI Matrix, the @cap-developer agent is Accountable for all API-related processes. The following table summarizes the RACI assignments for API Architecture &amp;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CDS Data Model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@cap-developer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@s4-integrator, @master-data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@qa-agent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OData Service Generation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@cap-developer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@ui-developer, @s4-integrator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@qa-agent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Logic Implementation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@qa-agent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@cap-developer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@workflow-agent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@security-agent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Event-Driven Architecture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@cap-developer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@s4-integrator, @data-pipeline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@devops-agent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Design &amp; Documentation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@qa-agent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@cap-developer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@ui-developer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@security-agent</w:t>
            </w:r>
          </w:p>
        </w:tc>
      </w:tr>
    </w:tbl>
    <w:p>
      <w:r>
        <w:br w:type="page"/>
      </w:r>
    </w:p>
    <w:p>
      <w:pPr>
        <w:pStyle w:val="Heading1"/>
      </w:pPr>
      <w:r>
        <w:t xml:space="preserve">2. API Design Principles</w:t>
      </w:r>
    </w:p>
    <w:p>
      <w:pPr>
        <w:spacing w:after="200"/>
      </w:pPr>
      <w:r>
        <w:t xml:space="preserve">All APIs in the Well Cost Management solution adhere to the following core principles to ensure consistency, maintainability, and interoperability across the multi-agent architecture.</w:t>
      </w:r>
    </w:p>
    <w:p>
      <w:pPr>
        <w:pStyle w:val="Heading2"/>
      </w:pPr>
      <w:r>
        <w:t xml:space="preserve">2.1 Core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API-First Design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 are designed before implementation. All agent capabilities are exposed through well-documented interfaces.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OData V4 Standard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business services use OData V4 protocol for standardized CRUD operations, filtering, sorting, and pagination.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Resource-Oriented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 are designed around resources (nouns) rather than actions (verbs). Operations map to HTTP methods.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Stateless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request contains all information needed for processing. No server-side session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Consistent Naming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names use PascalCase, properties use camelCase. Consistent naming across all services.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Versioned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 are versioned in the URL path (e.g., /v1/, /v2/). Breaking changes require new versions.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Secure by Default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APIs require authentication. Authorization enforced at entity and field level via CDS annotations.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Self-Documenting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 expose metadata ($metadata) and support OData $batch for efficient operations.</w:t>
            </w:r>
          </w:p>
        </w:tc>
      </w:tr>
    </w:tbl>
    <w:p>
      <w:pPr>
        <w:pStyle w:val="Heading2"/>
      </w:pPr>
      <w:r>
        <w:t xml:space="preserve">2.2 SAP Clean Core Compliance</w:t>
      </w:r>
    </w:p>
    <w:p>
      <w:pPr>
        <w:spacing w:after="200"/>
      </w:pPr>
      <w:r>
        <w:t xml:space="preserve">All APIs comply with SAP Clean Core principles, ensuring the S/4HANA core remains unmodified. Integration with S/4HANA is exclusively through released APIs (Communication Scenarios) using OAuth 2.0 authentication. This is mandatory for S/4HANA Public Cloud and strongly recommended for RISE deployments.</w:t>
      </w:r>
    </w:p>
    <w:p>
      <w:pPr>
        <w:pStyle w:val="Heading2"/>
      </w:pPr>
      <w:r>
        <w:t xml:space="preserve">2.3 HTTP Methods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resource(s). Safe and idempotent.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new resource. Returns 201 Created with Location header.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Update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entire resource. Idempotent.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 Update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specific fields only. Preferred for updates.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resource. Idempotent.</w:t>
            </w:r>
          </w:p>
        </w:tc>
      </w:tr>
    </w:tbl>
    <w:p>
      <w:r>
        <w:br w:type="page"/>
      </w:r>
    </w:p>
    <w:p>
      <w:pPr>
        <w:pStyle w:val="Heading1"/>
      </w:pPr>
      <w:r>
        <w:t xml:space="preserve">3. Service Catalog</w:t>
      </w:r>
    </w:p>
    <w:p>
      <w:pPr>
        <w:spacing w:after="200"/>
      </w:pPr>
      <w:r>
        <w:t xml:space="preserve">The Well Cost Management solution exposes nine primary OData V4 services, each mapped to an accountable agent per the RACI framework. All services are implemented using SAP Cloud Application Programming Model (CAP) with Node.js runtime.</w:t>
      </w:r>
    </w:p>
    <w:p>
      <w:pPr>
        <w:pStyle w:val="Heading2"/>
      </w:pPr>
      <w:r>
        <w:t xml:space="preserve">3.1 Service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Path</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Accountable 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BusinessCaseService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/odata/v4/business-case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@business-case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CostEstimationService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/odata/v4/cost-estimation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@cost-estimator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AFEService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/odata/v4/afe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@afe-manager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VarianceService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/odata/v4/variance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@variance-analyst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ReportingService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/odata/v4/reporting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MasterDataService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/odata/v4/master-data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@master-data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PartnerJIBService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/odata/v4/partner-jib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@partner-jib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IntegrationService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/odata/v4/integration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@s4-integrator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/odata/v4/admin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@security-agent</w:t>
            </w:r>
          </w:p>
        </w:tc>
      </w:tr>
    </w:tbl>
    <w:p>
      <w:pPr>
        <w:pStyle w:val="Heading2"/>
      </w:pPr>
      <w:r>
        <w:t xml:space="preserve">3.2 BusinessCaseService</w:t>
      </w:r>
    </w:p>
    <w:p>
      <w:pPr>
        <w:spacing w:after="120"/>
      </w:pPr>
      <w:r>
        <w:rPr>
          <w:b/>
          <w:bCs/>
        </w:rPr>
        <w:t xml:space="preserve">Purpose: </w:t>
      </w:r>
      <w:r>
        <w:t xml:space="preserve">Investment economics, NPV/IRR calculations, scenario analysis</w:t>
      </w:r>
    </w:p>
    <w:p>
      <w:pPr>
        <w:spacing w:after="120"/>
      </w:pPr>
      <w:r>
        <w:rPr>
          <w:b/>
          <w:bCs/>
        </w:rPr>
        <w:t xml:space="preserve">Accountable Agent: </w:t>
      </w:r>
      <w:r>
        <w:t xml:space="preserve">@business-case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EconomicsAnalysis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Entity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analysis with NPV, IRR, payback calculations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CashFlows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Yearly cash flow projections (CAPEX, OPEX, Revenue)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P10/P50/P90 scenario definitions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SensitivityResults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Variable impact analysis results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HurdleRates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asset, and project hurdle rates</w:t>
            </w:r>
          </w:p>
        </w:tc>
      </w:tr>
    </w:tbl>
    <w:p>
      <w:pPr>
        <w:spacing w:before="200" w:after="120"/>
      </w:pPr>
      <w:r>
        <w:rPr>
          <w:b/>
          <w:bCs/>
        </w:rPr>
        <w:t xml:space="preserve">Key Actions (Bound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calculateNPV()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Calculates Net Present Value using configurable discount rate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calculateIRR()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Computes IRR using Newton-Raphson iteration; MIRR option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runMonteCarlo(iterations)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Executes Monte Carlo simulation (default 10,000 iterations)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generateSensitivityChart()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Creates tornado chart data for variable sensitivity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submitToAFE()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Exports economics summary to AFE workflow</w:t>
            </w:r>
          </w:p>
        </w:tc>
      </w:tr>
    </w:tbl>
    <w:p>
      <w:pPr>
        <w:pStyle w:val="Heading2"/>
      </w:pPr>
      <w:r>
        <w:t xml:space="preserve">3.3 CostEstimationService</w:t>
      </w:r>
    </w:p>
    <w:p>
      <w:pPr>
        <w:spacing w:after="120"/>
      </w:pPr>
      <w:r>
        <w:rPr>
          <w:b/>
          <w:bCs/>
        </w:rPr>
        <w:t xml:space="preserve">Purpose: </w:t>
      </w:r>
      <w:r>
        <w:t xml:space="preserve">WBS cost buildup, offset well benchmarking, vendor rates</w:t>
      </w:r>
    </w:p>
    <w:p>
      <w:pPr>
        <w:spacing w:after="120"/>
      </w:pPr>
      <w:r>
        <w:rPr>
          <w:b/>
          <w:bCs/>
        </w:rPr>
        <w:t xml:space="preserve">Accountable Agent: </w:t>
      </w:r>
      <w:r>
        <w:t xml:space="preserve">@cost-estimator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CostEstimates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Entity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cost estimate with WBS structure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WBSElements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Hierarchical WBS elements (5+ levels)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CostLines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cost line items with quantity, rate, duration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OffsetWells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Association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Analogous wells for benchmarking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VendorRates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vendor rate cards with effective dates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EstimateVersions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history with change tracking</w:t>
            </w:r>
          </w:p>
        </w:tc>
      </w:tr>
    </w:tbl>
    <w:p>
      <w:pPr>
        <w:pStyle w:val="Heading2"/>
      </w:pPr>
      <w:r>
        <w:t xml:space="preserve">3.4 AFEService</w:t>
      </w:r>
    </w:p>
    <w:p>
      <w:pPr>
        <w:spacing w:after="120"/>
      </w:pPr>
      <w:r>
        <w:rPr>
          <w:b/>
          <w:bCs/>
        </w:rPr>
        <w:t xml:space="preserve">Purpose: </w:t>
      </w:r>
      <w:r>
        <w:t xml:space="preserve">AFE lifecycle management, approval workflows, supplements</w:t>
      </w:r>
    </w:p>
    <w:p>
      <w:pPr>
        <w:spacing w:after="120"/>
      </w:pPr>
      <w:r>
        <w:rPr>
          <w:b/>
          <w:bCs/>
        </w:rPr>
        <w:t xml:space="preserve">Accountable Agent: </w:t>
      </w:r>
      <w:r>
        <w:t xml:space="preserve">@afe-manager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Entity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Authorization for Expenditure with lifecycle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AFEItems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breakdown items by WBS element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workflow steps with status and comments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Supplements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AFE supplements/revisions with variance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PartnerConsents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JV partner consent tracking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Attached documents and supporting files</w:t>
            </w:r>
          </w:p>
        </w:tc>
      </w:tr>
    </w:tbl>
    <w:p>
      <w:pPr>
        <w:spacing w:before="200" w:after="120"/>
      </w:pPr>
      <w:r>
        <w:rPr>
          <w:b/>
          <w:bCs/>
        </w:rPr>
        <w:t xml:space="preserve">Key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AFE for approval workflow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approve(comment)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Approve at current level with optional comment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reject(reason)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with mandatory reason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createSupplement()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revision/supplement from existing AFE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reserveBudget()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budget reservation in SAP Project System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distributeToPartners()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AFE to JV partners for consent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print-ready AFE document</w:t>
            </w:r>
          </w:p>
        </w:tc>
      </w:tr>
    </w:tbl>
    <w:p>
      <w:r>
        <w:br w:type="page"/>
      </w:r>
    </w:p>
    <w:p>
      <w:pPr>
        <w:pStyle w:val="Heading2"/>
      </w:pPr>
      <w:r>
        <w:t xml:space="preserve">3.5 VarianceService</w:t>
      </w:r>
    </w:p>
    <w:p>
      <w:pPr>
        <w:spacing w:after="120"/>
      </w:pPr>
      <w:r>
        <w:rPr>
          <w:b/>
          <w:bCs/>
        </w:rPr>
        <w:t xml:space="preserve">Purpose: </w:t>
      </w:r>
      <w:r>
        <w:t xml:space="preserve">Actual vs Estimate analysis, cost tracking, forecasting</w:t>
      </w:r>
    </w:p>
    <w:p>
      <w:pPr>
        <w:spacing w:after="120"/>
      </w:pPr>
      <w:r>
        <w:rPr>
          <w:b/>
          <w:bCs/>
        </w:rPr>
        <w:t xml:space="preserve">Accountable Agent: </w:t>
      </w:r>
      <w:r>
        <w:t xml:space="preserve">@variance-analyst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Entity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 analysis for well/AFE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CostActuals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Actual costs from S/4HANA (CO/FI)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POs and contracts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VarianceCategories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Root cause categorization (NPT, scope, market)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cost forecasts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Early warning alerts for threshold breaches</w:t>
            </w:r>
          </w:p>
        </w:tc>
      </w:tr>
    </w:tbl>
    <w:p>
      <w:pPr>
        <w:pStyle w:val="Heading2"/>
      </w:pPr>
      <w:r>
        <w:t xml:space="preserve">3.6 MasterDataService</w:t>
      </w:r>
    </w:p>
    <w:p>
      <w:pPr>
        <w:spacing w:after="120"/>
      </w:pPr>
      <w:r>
        <w:rPr>
          <w:b/>
          <w:bCs/>
        </w:rPr>
        <w:t xml:space="preserve">Purpose: </w:t>
      </w:r>
      <w:r>
        <w:t xml:space="preserve">Well master, cost elements, WBS templates, vendor data</w:t>
      </w:r>
    </w:p>
    <w:p>
      <w:pPr>
        <w:spacing w:after="120"/>
      </w:pPr>
      <w:r>
        <w:rPr>
          <w:b/>
          <w:bCs/>
        </w:rPr>
        <w:t xml:space="preserve">Accountable Agent: </w:t>
      </w:r>
      <w:r>
        <w:t xml:space="preserve">@master-data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master data (location, type,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Master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Field/asset hierarchy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CostElements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Standardized cost elements mapped to SAP CO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WBSTemplates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Pre-configured WBS templates by well 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master synced from S/4HANA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Partners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Master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JV partners with working interests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UnitOfMeasures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UoM definitions and conversions</w:t>
            </w:r>
          </w:p>
        </w:tc>
      </w:tr>
    </w:tbl>
    <w:p>
      <w:r>
        <w:br w:type="page"/>
      </w:r>
    </w:p>
    <w:p>
      <w:pPr>
        <w:pStyle w:val="Heading1"/>
      </w:pPr>
      <w:r>
        <w:t xml:space="preserve">4. S/4HANA Integration APIs</w:t>
      </w:r>
    </w:p>
    <w:p>
      <w:pPr>
        <w:spacing w:after="200"/>
      </w:pPr>
      <w:r>
        <w:t xml:space="preserve">Integration with SAP S/4HANA is managed by the @s4-integrator agent through SAP Integration Suite and Destination Service. All integrations comply with SAP Clean Core principles using released APIs only.</w:t>
      </w:r>
    </w:p>
    <w:p>
      <w:pPr>
        <w:pStyle w:val="Heading2"/>
      </w:pPr>
      <w:r>
        <w:t xml:space="preserve">4.1 Communication Scenarios (S/4HANA Cloud)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ID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Well Cost 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SAP_COM_0008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Partner Integration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Vendor/Partner master sync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SAP_COM_0028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Journal Entry Integration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posting from variance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SAP_COM_0053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Contract Integration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data for cost estimation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SAP_COM_0164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Purchase Order Integration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 creation from AFE approval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SAP_COM_0367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Goods Receipt Integration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 posting for cost actuals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SAP_COM_0073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Center Integration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center master sync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SAP_COM_0332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WBS Element Integration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WBS creation from AFE</w:t>
            </w:r>
          </w:p>
        </w:tc>
      </w:tr>
    </w:tbl>
    <w:p>
      <w:pPr>
        <w:pStyle w:val="Heading2"/>
      </w:pPr>
      <w:r>
        <w:t xml:space="preserve">4.2 S/4HANA Module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Elements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(Project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WBS, Networks, Activities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@s4-integrator, @afe-manager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MM (Materials)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 Goods Receipt, Vendor Master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Inbound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@s4-integrator, @cost-estimator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FI/CO (Finance)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Actuals, Commitments, GL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@s4-integrator, @variance-analyst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 (Plant Maint.)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Equipment, Work Orders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Inbound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@s4-integrator, @master-data</w:t>
            </w:r>
          </w:p>
        </w:tc>
      </w:tr>
    </w:tbl>
    <w:p>
      <w:pPr>
        <w:pStyle w:val="Heading2"/>
      </w:pPr>
      <w:r>
        <w:t xml:space="preserve">4.3 Authentication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S/4HANA Public Cloud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(mandatory)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Arrangements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S/4HANA RISE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OAuth 2.0 / Principal Propagation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 Private Link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S/4HANA On-Premise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 Basic / Certificate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Cloud Connector</w:t>
            </w:r>
          </w:p>
        </w:tc>
      </w:tr>
    </w:tbl>
    <w:p>
      <w:r>
        <w:br w:type="page"/>
      </w:r>
    </w:p>
    <w:p>
      <w:pPr>
        <w:pStyle w:val="Heading1"/>
      </w:pPr>
      <w:r>
        <w:t xml:space="preserve">5. Event-Driven APIs</w:t>
      </w:r>
    </w:p>
    <w:p>
      <w:pPr>
        <w:spacing w:after="200"/>
      </w:pPr>
      <w:r>
        <w:t xml:space="preserve">The Well Cost Management solution uses SAP Event Mesh for asynchronous, event-driven communication between agents. Events enable loose coupling and real-time notifications across the multi-agent architecture.</w:t>
      </w:r>
    </w:p>
    <w:p>
      <w:pPr>
        <w:pStyle w:val="Heading2"/>
      </w:pPr>
      <w:r>
        <w:t xml:space="preserve">5.1 Event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Subscribers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AFE.Created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@afe-manager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@workflow-agent, @partner-jib, @reporter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AFE.Approved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@workflow-agent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@s4-integrator, @afe-manager, @reporter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AFE.Rejected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@workflow-agent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@afe-manager, @reporter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Cost.Posted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@s4-integrator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@variance-analyst, @reporter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Variance.ThresholdExceeded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@variance-analyst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@monitor-agent, @reporter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Estimate.Completed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@cost-estimator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@business-case, @afe-manager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BusinessCase.Approved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@business-case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@afe-manager, @reporter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Partner.ConsentReceived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@partner-jib</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@afe-manager, @workflow-agent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Alert.Triggered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@monitor-agent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subscribed agents</w:t>
            </w:r>
          </w:p>
        </w:tc>
      </w:tr>
    </w:tbl>
    <w:p>
      <w:pPr>
        <w:pStyle w:val="Heading2"/>
      </w:pPr>
      <w:r>
        <w:t xml:space="preserve">5.2 Event Payload Structure</w:t>
      </w:r>
    </w:p>
    <w:p>
      <w:pPr>
        <w:spacing w:after="200"/>
      </w:pPr>
      <w:r>
        <w:t xml:space="preserve">All events follow the CloudEvents 1.0 specification with a standardized payload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CloudEvents specification version (1.0)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type (e.g., com.sap.wcm.afe.approved)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source identifier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event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timestamp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datacontenttype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application/json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Event-specific payload</w:t>
            </w:r>
          </w:p>
        </w:tc>
      </w:tr>
    </w:tbl>
    <w:p>
      <w:r>
        <w:br w:type="page"/>
      </w:r>
    </w:p>
    <w:p>
      <w:pPr>
        <w:pStyle w:val="Heading1"/>
      </w:pPr>
      <w:r>
        <w:t xml:space="preserve">6. API Security</w:t>
      </w:r>
    </w:p>
    <w:p>
      <w:pPr>
        <w:spacing w:after="200"/>
      </w:pPr>
      <w:r>
        <w:t xml:space="preserve">All APIs implement comprehensive security controls per the @security-agent accountability. Security is enforced at multiple layers: authentication, authorization, data access, and audit logging.</w:t>
      </w:r>
    </w:p>
    <w:p>
      <w:pPr>
        <w:pStyle w:val="Heading2"/>
      </w:pPr>
      <w:r>
        <w:t xml:space="preserve">6.1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Fiori Launchpad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SAML 2.0 SSO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IAS (federated to Corporate IdP)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 OData Services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OAuth 2.0 Bearer Token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 XSUAA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S/4HANA Cloud APIs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 SAML Bearer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S/4HANA OAuth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 Application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OAuth 2.0 + Refresh Token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 XSUAA via Mobile Services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Mesh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Client Credentials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XSUAA</w:t>
            </w:r>
          </w:p>
        </w:tc>
      </w:tr>
    </w:tbl>
    <w:p>
      <w:pPr>
        <w:pStyle w:val="Heading2"/>
      </w:pPr>
      <w:r>
        <w:t xml:space="preserve">6.2 Authorization Scopes</w:t>
      </w:r>
    </w:p>
    <w:p>
      <w:pPr>
        <w:spacing w:after="200"/>
      </w:pPr>
      <w:r>
        <w:t xml:space="preserve">Role-based access control is implemented using XSUAA scopes. The following scopes are defined for Well Cost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wcm.estimate.read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cost estimates and WBS structures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wcm.estimate.write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and modify cost estimates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wcm.afe.read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AFE documents and approval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wcm.afe.write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modify, and submit AFEs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wcm.afe.approve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or reject AFEs in workflow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wcm.variance.read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variance analysis and forecasts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wcm.variance.categorize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Categorize variance root causes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wcm.report.read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dashboards and reports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wcm.report.export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reports to PDF/Excel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wcm.admin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Administrative functions and configuration</w:t>
            </w:r>
          </w:p>
        </w:tc>
      </w:tr>
    </w:tbl>
    <w:p>
      <w:pPr>
        <w:pStyle w:val="Heading2"/>
      </w:pPr>
      <w:r>
        <w:t xml:space="preserve">6.3 Data-Level Security</w:t>
      </w:r>
    </w:p>
    <w:p>
      <w:pPr>
        <w:spacing w:after="200"/>
      </w:pPr>
      <w:r>
        <w:t xml:space="preserve">Data segregation is enforced at the entity level using CDS annotations. Users can only access data for their assigned assets and JV partnerships:</w:t>
      </w:r>
    </w:p>
    <w:p>
      <w:pPr>
        <w:pStyle w:val="ListParagraph"/>
        <w:numPr>
          <w:ilvl w:val="0"/>
          <w:numId w:val="2"/>
        </w:numPr>
      </w:pPr>
      <w:r>
        <w:rPr>
          <w:b/>
          <w:bCs/>
        </w:rPr>
        <w:t xml:space="preserve">Asset-level segregation: </w:t>
      </w:r>
      <w:r>
        <w:t xml:space="preserve">Users see only wells/AFEs for assigned assets</w:t>
      </w:r>
    </w:p>
    <w:p>
      <w:pPr>
        <w:pStyle w:val="ListParagraph"/>
        <w:numPr>
          <w:ilvl w:val="0"/>
          <w:numId w:val="2"/>
        </w:numPr>
      </w:pPr>
      <w:r>
        <w:rPr>
          <w:b/>
          <w:bCs/>
        </w:rPr>
        <w:t xml:space="preserve">JV-level masking: </w:t>
      </w:r>
      <w:r>
        <w:t xml:space="preserve">Partner costs masked based on working interest visibility rules</w:t>
      </w:r>
    </w:p>
    <w:p>
      <w:pPr>
        <w:pStyle w:val="ListParagraph"/>
        <w:numPr>
          <w:ilvl w:val="0"/>
          <w:numId w:val="2"/>
        </w:numPr>
      </w:pPr>
      <w:r>
        <w:rPr>
          <w:b/>
          <w:bCs/>
        </w:rPr>
        <w:t xml:space="preserve">Field-level restrictions: </w:t>
      </w:r>
      <w:r>
        <w:t xml:space="preserve">Sensitive fields (e.g., partner cost breakdown) restricted by role</w:t>
      </w:r>
    </w:p>
    <w:p>
      <w:r>
        <w:br w:type="page"/>
      </w:r>
    </w:p>
    <w:p>
      <w:pPr>
        <w:pStyle w:val="Heading1"/>
      </w:pPr>
      <w:r>
        <w:t xml:space="preserve">7. Error Handling &amp; Response Standards</w:t>
      </w:r>
    </w:p>
    <w:p>
      <w:pPr>
        <w:spacing w:after="200"/>
      </w:pPr>
      <w:r>
        <w:t xml:space="preserve">All APIs follow standardized error handling patterns to ensure consistent client experience and effective troubleshooting.</w:t>
      </w:r>
    </w:p>
    <w:p>
      <w:pPr>
        <w:pStyle w:val="Heading2"/>
      </w:pPr>
      <w:r>
        <w:t xml:space="preserve">7.1 HTTP Status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GET, PUT, PATCH requests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Successful POST creating new resource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Content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DELETE request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Bad Request</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Invalid request syntax, validation errors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Unauthorized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or invalid authentication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Forbidden</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 auth but insufficient permissions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Found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does not exist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Conflict</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Concurrent modification conflict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Unprocessable Entity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rule validation failure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Server Error</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Unexpected server-side error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Unavailable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Temporary service unavailability</w:t>
            </w:r>
          </w:p>
        </w:tc>
      </w:tr>
    </w:tbl>
    <w:p>
      <w:pPr>
        <w:pStyle w:val="Heading2"/>
      </w:pPr>
      <w:r>
        <w:t xml:space="preserve">7.2 Error Response Format</w:t>
      </w:r>
    </w:p>
    <w:p>
      <w:pPr>
        <w:spacing w:after="200"/>
      </w:pPr>
      <w:r>
        <w:t xml:space="preserve">All error responses follow OData V4 error format with additional fields for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Application-specific error code (e.g., WCM-AFE-001)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error.message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Human-readable error message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error.target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or entity causing the error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error.details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Additional validation errors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error.innererror.timestamp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occurrence timestamp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error.innererror.correlationId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correlation ID for tracing</w:t>
            </w:r>
          </w:p>
        </w:tc>
      </w:tr>
    </w:tbl>
    <w:p>
      <w:r>
        <w:br w:type="page"/>
      </w:r>
    </w:p>
    <w:p>
      <w:pPr>
        <w:pStyle w:val="Heading1"/>
      </w:pPr>
      <w:r>
        <w:t xml:space="preserve">8. API Versioning &amp; Lifecycle</w:t>
      </w:r>
    </w:p>
    <w:p>
      <w:pPr>
        <w:pStyle w:val="Heading2"/>
      </w:pPr>
      <w:r>
        <w:t xml:space="preserve">8.1 Versioning Strategy</w:t>
      </w:r>
    </w:p>
    <w:p>
      <w:pPr>
        <w:spacing w:after="200"/>
      </w:pPr>
      <w:r>
        <w:t xml:space="preserve">APIs use URL path versioning with semantic version numbers. Major versions indicate breaking changes, while minor versions add backward-compatible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Impact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Breaking change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major version (v2)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/odata/v2/afe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feature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Minor version (documented)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entity added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 (transparent)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URL change</w:t>
            </w:r>
          </w:p>
        </w:tc>
      </w:tr>
    </w:tbl>
    <w:p>
      <w:pPr>
        <w:pStyle w:val="Heading2"/>
      </w:pPr>
      <w:r>
        <w:t xml:space="preserve">8.2 Deprecation Policy</w:t>
      </w:r>
    </w:p>
    <w:p>
      <w:pPr>
        <w:spacing w:after="120"/>
      </w:pPr>
      <w:r>
        <w:t xml:space="preserve">When a new major version is released:</w:t>
      </w:r>
    </w:p>
    <w:p>
      <w:pPr>
        <w:pStyle w:val="ListParagraph"/>
        <w:numPr>
          <w:ilvl w:val="0"/>
          <w:numId w:val="3"/>
        </w:numPr>
      </w:pPr>
      <w:r>
        <w:t xml:space="preserve">Announcement: Minimum 6 months notice before deprecation</w:t>
      </w:r>
    </w:p>
    <w:p>
      <w:pPr>
        <w:pStyle w:val="ListParagraph"/>
        <w:numPr>
          <w:ilvl w:val="0"/>
          <w:numId w:val="3"/>
        </w:numPr>
      </w:pPr>
      <w:r>
        <w:t xml:space="preserve">Sunset header: Deprecated endpoints return Sunset HTTP header</w:t>
      </w:r>
    </w:p>
    <w:p>
      <w:pPr>
        <w:pStyle w:val="ListParagraph"/>
        <w:numPr>
          <w:ilvl w:val="0"/>
          <w:numId w:val="3"/>
        </w:numPr>
      </w:pPr>
      <w:r>
        <w:t xml:space="preserve">Parallel operation: Old and new versions run concurrently</w:t>
      </w:r>
    </w:p>
    <w:p>
      <w:pPr>
        <w:pStyle w:val="ListParagraph"/>
        <w:numPr>
          <w:ilvl w:val="0"/>
          <w:numId w:val="3"/>
        </w:numPr>
      </w:pPr>
      <w:r>
        <w:t xml:space="preserve">Retirement: Old version retired after migration period</w:t>
      </w:r>
    </w:p>
    <w:p>
      <w:r>
        <w:br w:type="page"/>
      </w:r>
    </w:p>
    <w:p>
      <w:pPr>
        <w:pStyle w:val="Heading1"/>
      </w:pPr>
      <w:r>
        <w:t xml:space="preserve">9. Performance Requirements</w:t>
      </w:r>
    </w:p>
    <w:p>
      <w:pPr>
        <w:spacing w:after="200"/>
      </w:pPr>
      <w:r>
        <w:t xml:space="preserve">API performance requirements are defined per the @performance-agent accountability and monitored by @monitor-agent.</w:t>
      </w:r>
    </w:p>
    <w:p>
      <w:pPr>
        <w:pStyle w:val="Heading2"/>
      </w:pPr>
      <w:r>
        <w:t xml:space="preserve">9.1 Response Time SLAs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 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(P95)</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Maximum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GET (single entity)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 ms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second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query (paginated)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 second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 seconds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query with $expand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operation (POST/PUT/PATCH)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 second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 seconds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NPV/IRR calculation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Monte Carlo simulation (10K)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30 seconds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60 seconds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generation (PDF)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 seconds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w:t>
            </w:r>
          </w:p>
        </w:tc>
      </w:tr>
    </w:tbl>
    <w:p>
      <w:pPr>
        <w:pStyle w:val="Heading2"/>
      </w:pPr>
      <w:r>
        <w:t xml:space="preserve">9.2 Throughput &amp; Scalability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users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simultaneous without degradation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requests per second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requests/second sustained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processing throughput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1000 records/minute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processing latency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 seconds end-to-end</w:t>
            </w:r>
          </w:p>
        </w:tc>
      </w:tr>
    </w:tbl>
    <w:p>
      <w:r>
        <w:br w:type="page"/>
      </w:r>
    </w:p>
    <w:p>
      <w:pPr>
        <w:pStyle w:val="Heading1"/>
      </w:pPr>
      <w:r>
        <w:t xml:space="preserve">10. API Documentation Standards</w:t>
      </w:r>
    </w:p>
    <w:p>
      <w:pPr>
        <w:pStyle w:val="Heading2"/>
      </w:pPr>
      <w:r>
        <w:t xml:space="preserve">10.1 Documentation Requirements</w:t>
      </w:r>
    </w:p>
    <w:p>
      <w:pPr>
        <w:spacing w:after="200"/>
      </w:pPr>
      <w:r>
        <w:t xml:space="preserve">All APIs must include comprehensive documentation per the @qa-agent quality standards:</w:t>
      </w:r>
    </w:p>
    <w:p>
      <w:pPr>
        <w:pStyle w:val="ListParagraph"/>
        <w:numPr>
          <w:ilvl w:val="0"/>
          <w:numId w:val="2"/>
        </w:numPr>
      </w:pPr>
      <w:r>
        <w:rPr>
          <w:b/>
          <w:bCs/>
        </w:rPr>
        <w:t xml:space="preserve">OData $metadata: </w:t>
      </w:r>
      <w:r>
        <w:t xml:space="preserve">Auto-generated service metadata with annotations</w:t>
      </w:r>
    </w:p>
    <w:p>
      <w:pPr>
        <w:pStyle w:val="ListParagraph"/>
        <w:numPr>
          <w:ilvl w:val="0"/>
          <w:numId w:val="2"/>
        </w:numPr>
      </w:pPr>
      <w:r>
        <w:rPr>
          <w:b/>
          <w:bCs/>
        </w:rPr>
        <w:t xml:space="preserve">OpenAPI specification: </w:t>
      </w:r>
      <w:r>
        <w:t xml:space="preserve">RESTful API documentation in OpenAPI 3.0 format</w:t>
      </w:r>
    </w:p>
    <w:p>
      <w:pPr>
        <w:pStyle w:val="ListParagraph"/>
        <w:numPr>
          <w:ilvl w:val="0"/>
          <w:numId w:val="2"/>
        </w:numPr>
      </w:pPr>
      <w:r>
        <w:rPr>
          <w:b/>
          <w:bCs/>
        </w:rPr>
        <w:t xml:space="preserve">Entity descriptions: </w:t>
      </w:r>
      <w:r>
        <w:t xml:space="preserve">CDS annotations for all entities and properties</w:t>
      </w:r>
    </w:p>
    <w:p>
      <w:pPr>
        <w:pStyle w:val="ListParagraph"/>
        <w:numPr>
          <w:ilvl w:val="0"/>
          <w:numId w:val="2"/>
        </w:numPr>
      </w:pPr>
      <w:r>
        <w:rPr>
          <w:b/>
          <w:bCs/>
        </w:rPr>
        <w:t xml:space="preserve">Action/Function docs: </w:t>
      </w:r>
      <w:r>
        <w:t xml:space="preserve">Parameters, return types, and example payloads</w:t>
      </w:r>
    </w:p>
    <w:p>
      <w:pPr>
        <w:pStyle w:val="ListParagraph"/>
        <w:numPr>
          <w:ilvl w:val="0"/>
          <w:numId w:val="2"/>
        </w:numPr>
      </w:pPr>
      <w:r>
        <w:rPr>
          <w:b/>
          <w:bCs/>
        </w:rPr>
        <w:t xml:space="preserve">Error catalogs: </w:t>
      </w:r>
      <w:r>
        <w:t xml:space="preserve">Comprehensive error codes with resolution guidance</w:t>
      </w:r>
    </w:p>
    <w:p>
      <w:pPr>
        <w:pStyle w:val="ListParagraph"/>
        <w:numPr>
          <w:ilvl w:val="0"/>
          <w:numId w:val="2"/>
        </w:numPr>
      </w:pPr>
      <w:r>
        <w:rPr>
          <w:b/>
          <w:bCs/>
        </w:rPr>
        <w:t xml:space="preserve">Sample requests: </w:t>
      </w:r>
      <w:r>
        <w:t xml:space="preserve">Postman collections for each service</w:t>
      </w:r>
    </w:p>
    <w:p>
      <w:pPr>
        <w:pStyle w:val="Heading2"/>
      </w:pPr>
      <w:r>
        <w:t xml:space="preserve">10.2 Documentation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Metadata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/odata/v4/{service}/$metadata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OpenAPI Spec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/api-docs/{service}/openapi.json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Postman Collection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API Business Hub / Internal DevPortal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Guide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 Help Portal / Solution Documentation</w:t>
            </w:r>
          </w:p>
        </w:tc>
      </w:tr>
    </w:tbl>
    <w:p>
      <w:r>
        <w:br w:type="page"/>
      </w:r>
    </w:p>
    <w:p>
      <w:pPr>
        <w:pStyle w:val="Heading1"/>
      </w:pPr>
      <w:r>
        <w:t xml:space="preserve">11. Appendix</w:t>
      </w:r>
    </w:p>
    <w:p>
      <w:pPr>
        <w:pStyle w:val="Heading2"/>
      </w:pPr>
      <w:r>
        <w:t xml:space="preserve">11.1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IBU-ARCH-001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Architecture Document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PFD-WCM-2025-001</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Feature Document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FSD-WCM-BC-001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Economics Engine FSD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WCM-RACI-001</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Well Cost Management RACI Matrix</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WCM-ONBOARD-001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Onboarding Plan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pPr>
        <w:pStyle w:val="Heading2"/>
      </w:pPr>
      <w:r>
        <w:t xml:space="preserve">11.2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Cloud Application Programming Model - framework for building enterprise services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CDS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Data Services - SAP data modeling and query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Data Protocol - standardized REST-based data access protocol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XSUAA</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Extended Services for User Account and Authentication - SAP OAuth provider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Authentication Service - SAP identity provider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Event Mesh</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 event broker service for asynchronous messaging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RACI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Responsible, Accountable, Consulted, Informed - responsibility matrix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Clean Core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 principle keeping ERP core unmodified with side-by-side extensions</w:t>
            </w:r>
          </w:p>
        </w:tc>
      </w:tr>
    </w:tbl>
    <w:p>
      <w:pPr>
        <w:pStyle w:val="Heading2"/>
      </w:pPr>
      <w:r>
        <w:t xml:space="preserve">11.3 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2025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Architect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release - Complete API architecture</w:t>
            </w:r>
          </w:p>
        </w:tc>
      </w:tr>
    </w:tbl>
    <w:p>
      <w:pPr>
        <w:spacing w:before="600"/>
      </w:pPr>
    </w:p>
    <w:p>
      <w:pPr>
        <w:jc w:val="center"/>
      </w:pPr>
      <w:r>
        <w:rPr>
          <w:i/>
          <w:iCs/>
          <w:color w:val="808080"/>
        </w:rPr>
        <w:t xml:space="preserve">--- End of Document ---</w:t>
      </w:r>
    </w:p>
    <w:p>
      <w:pPr>
        <w:spacing w:before="200"/>
      </w:pPr>
    </w:p>
    <w:p>
      <w:pPr>
        <w:jc w:val="center"/>
      </w:pPr>
      <w:r>
        <w:rPr>
          <w:rFonts w:ascii="Arial" w:cs="Arial" w:eastAsia="Arial" w:hAnsi="Arial"/>
          <w:color w:val="808080"/>
          <w:sz w:val="18"/>
          <w:szCs w:val="18"/>
        </w:rPr>
        <w:t xml:space="preserve">IBU-ARCH-004 | API Architecture &amp; Design | Version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IBU-ARCH-004 | API Architecture &amp; Design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2026-01-28T10:00:41.352Z</dcterms:created>
  <dcterms:modified xsi:type="dcterms:W3CDTF">2026-01-28T10:00:41.353Z</dcterms:modified>
</cp:coreProperties>
</file>

<file path=docProps/custom.xml><?xml version="1.0" encoding="utf-8"?>
<Properties xmlns="http://schemas.openxmlformats.org/officeDocument/2006/custom-properties" xmlns:vt="http://schemas.openxmlformats.org/officeDocument/2006/docPropsVTypes"/>
</file>