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22728F3E" w14:textId="6E2FD0BF" w:rsidR="004224A2" w:rsidRDefault="00807133" w:rsidP="00B02A47">
      <w:pPr>
        <w:rPr>
          <w:lang w:val="en-US" w:eastAsia="en-GB"/>
        </w:rPr>
      </w:pPr>
      <w:r>
        <w:rPr>
          <w:lang w:val="en-US" w:eastAsia="en-GB"/>
        </w:rPr>
        <w:t>I used Anaconda Prompt/</w:t>
      </w:r>
      <w:proofErr w:type="spellStart"/>
      <w:r>
        <w:rPr>
          <w:lang w:val="en-US" w:eastAsia="en-GB"/>
        </w:rPr>
        <w:t>Jupyter</w:t>
      </w:r>
      <w:proofErr w:type="spellEnd"/>
      <w:r>
        <w:rPr>
          <w:lang w:val="en-US" w:eastAsia="en-GB"/>
        </w:rPr>
        <w:t xml:space="preserve"> notebook to create the following project. </w:t>
      </w:r>
    </w:p>
    <w:p w14:paraId="6B546A37" w14:textId="207BAD01" w:rsidR="00807133" w:rsidRDefault="00807133" w:rsidP="00B02A47">
      <w:pPr>
        <w:rPr>
          <w:lang w:val="en-US" w:eastAsia="en-GB"/>
        </w:rPr>
      </w:pPr>
    </w:p>
    <w:p w14:paraId="43A8BDEE" w14:textId="77777777" w:rsidR="00807133" w:rsidRPr="005A35B1" w:rsidRDefault="00807133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485259E" w14:textId="3AB23285" w:rsidR="004224A2" w:rsidRPr="004224A2" w:rsidRDefault="00807133" w:rsidP="004224A2">
      <w:pPr>
        <w:rPr>
          <w:lang w:val="en-US" w:eastAsia="en-GB"/>
        </w:rPr>
      </w:pPr>
      <w:proofErr w:type="gramStart"/>
      <w:r>
        <w:rPr>
          <w:lang w:val="en-US" w:eastAsia="en-GB"/>
        </w:rPr>
        <w:t>It’s</w:t>
      </w:r>
      <w:proofErr w:type="gramEnd"/>
      <w:r>
        <w:rPr>
          <w:lang w:val="en-US" w:eastAsia="en-GB"/>
        </w:rPr>
        <w:t xml:space="preserve"> one of the most basic and easy to use environments out there for python. Since Watson studio gives it a more professional/premium look, it has a limit.  </w:t>
      </w:r>
      <w:proofErr w:type="gramStart"/>
      <w:r>
        <w:rPr>
          <w:lang w:val="en-US" w:eastAsia="en-GB"/>
        </w:rPr>
        <w:t>Hence</w:t>
      </w:r>
      <w:proofErr w:type="gramEnd"/>
      <w:r>
        <w:rPr>
          <w:lang w:val="en-US" w:eastAsia="en-GB"/>
        </w:rPr>
        <w:t xml:space="preserve"> I first made the notebook in </w:t>
      </w:r>
      <w:proofErr w:type="spellStart"/>
      <w:r>
        <w:rPr>
          <w:lang w:val="en-US" w:eastAsia="en-GB"/>
        </w:rPr>
        <w:t>Jupyter</w:t>
      </w:r>
      <w:proofErr w:type="spellEnd"/>
      <w:r>
        <w:rPr>
          <w:lang w:val="en-US" w:eastAsia="en-GB"/>
        </w:rPr>
        <w:t xml:space="preserve"> and then re-uploaded using Watson Studio. </w:t>
      </w:r>
    </w:p>
    <w:p w14:paraId="190537AE" w14:textId="77777777" w:rsidR="00661D75" w:rsidRPr="005A35B1" w:rsidRDefault="00661D75" w:rsidP="00B02A47">
      <w:pPr>
        <w:rPr>
          <w:lang w:val="en-US" w:eastAsia="en-GB"/>
        </w:rPr>
      </w:pP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046BBE04" w:rsidR="00726748" w:rsidRDefault="00807133" w:rsidP="00726748">
      <w:pPr>
        <w:rPr>
          <w:lang w:val="en-US" w:eastAsia="en-GB"/>
        </w:rPr>
      </w:pPr>
      <w:r>
        <w:rPr>
          <w:lang w:val="en-US" w:eastAsia="en-GB"/>
        </w:rPr>
        <w:t xml:space="preserve"> Watson Studio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0FB15476" w:rsidR="00726748" w:rsidRPr="004224A2" w:rsidRDefault="00807133" w:rsidP="00726748">
      <w:pPr>
        <w:rPr>
          <w:lang w:val="en-US" w:eastAsia="en-GB"/>
        </w:rPr>
      </w:pPr>
      <w:r>
        <w:rPr>
          <w:lang w:val="en-US" w:eastAsia="en-GB"/>
        </w:rPr>
        <w:t>One of the free and high environments out there.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32ACA1E8" w:rsidR="00A82C62" w:rsidRDefault="00807133" w:rsidP="00A82C62">
      <w:pPr>
        <w:rPr>
          <w:lang w:val="en-US" w:eastAsia="en-GB"/>
        </w:rPr>
      </w:pPr>
      <w:r>
        <w:rPr>
          <w:lang w:val="en-US" w:eastAsia="en-GB"/>
        </w:rPr>
        <w:t>Microsoft Azure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008E4E79" w:rsidR="00A82C62" w:rsidRDefault="00807133" w:rsidP="00A82C62">
      <w:pPr>
        <w:rPr>
          <w:lang w:val="en-US" w:eastAsia="en-GB"/>
        </w:rPr>
      </w:pPr>
      <w:r>
        <w:rPr>
          <w:lang w:val="en-US" w:eastAsia="en-GB"/>
        </w:rPr>
        <w:t>ETL.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4E274480" w:rsidR="00A82C62" w:rsidRPr="004224A2" w:rsidRDefault="00807133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2831185B" w:rsidR="00A82C62" w:rsidRDefault="00807133" w:rsidP="00A82C62">
      <w:pPr>
        <w:rPr>
          <w:lang w:val="en-US" w:eastAsia="en-GB"/>
        </w:rPr>
      </w:pPr>
      <w:proofErr w:type="spellStart"/>
      <w:r>
        <w:rPr>
          <w:lang w:val="en-US" w:eastAsia="en-GB"/>
        </w:rPr>
        <w:t>Github</w:t>
      </w:r>
      <w:proofErr w:type="spellEnd"/>
      <w:r>
        <w:rPr>
          <w:lang w:val="en-US" w:eastAsia="en-GB"/>
        </w:rPr>
        <w:t>/Watson Studio.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2F41A95E" w:rsidR="00A82C62" w:rsidRPr="004224A2" w:rsidRDefault="00807133" w:rsidP="00A82C62">
      <w:pPr>
        <w:rPr>
          <w:lang w:val="en-US" w:eastAsia="en-GB"/>
        </w:rPr>
      </w:pPr>
      <w:r>
        <w:rPr>
          <w:lang w:val="en-US" w:eastAsia="en-GB"/>
        </w:rPr>
        <w:t>They are mainstream.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62E16143" w:rsidR="00A82C62" w:rsidRDefault="00807133" w:rsidP="00A82C62">
      <w:pPr>
        <w:rPr>
          <w:lang w:val="en-US" w:eastAsia="en-GB"/>
        </w:rPr>
      </w:pPr>
      <w:r>
        <w:rPr>
          <w:lang w:val="en-US" w:eastAsia="en-GB"/>
        </w:rPr>
        <w:t>Google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33017E12" w:rsidR="00A82C62" w:rsidRPr="004224A2" w:rsidRDefault="00807133" w:rsidP="00A82C62">
      <w:pPr>
        <w:rPr>
          <w:lang w:val="en-US" w:eastAsia="en-GB"/>
        </w:rPr>
      </w:pPr>
      <w:proofErr w:type="gramStart"/>
      <w:r>
        <w:rPr>
          <w:lang w:val="en-US" w:eastAsia="en-GB"/>
        </w:rPr>
        <w:t>It’s</w:t>
      </w:r>
      <w:proofErr w:type="gramEnd"/>
      <w:r>
        <w:rPr>
          <w:lang w:val="en-US" w:eastAsia="en-GB"/>
        </w:rPr>
        <w:t xml:space="preserve"> the best search engine.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57B77CCB" w:rsidR="00A82C62" w:rsidRDefault="00807133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1EDBA040" w:rsidR="00A82C62" w:rsidRPr="004224A2" w:rsidRDefault="00807133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3123FE72" w:rsidR="00A82C62" w:rsidRDefault="00807133" w:rsidP="00A82C62">
      <w:pPr>
        <w:rPr>
          <w:lang w:val="en-US" w:eastAsia="en-GB"/>
        </w:rPr>
      </w:pPr>
      <w:r>
        <w:rPr>
          <w:lang w:val="en-US" w:eastAsia="en-GB"/>
        </w:rPr>
        <w:t>Microsoft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74EBD7C1" w:rsidR="00A82C62" w:rsidRPr="004224A2" w:rsidRDefault="00807133" w:rsidP="00A82C62">
      <w:pPr>
        <w:rPr>
          <w:lang w:val="en-US" w:eastAsia="en-GB"/>
        </w:rPr>
      </w:pPr>
      <w:proofErr w:type="gramStart"/>
      <w:r>
        <w:rPr>
          <w:lang w:val="en-US" w:eastAsia="en-GB"/>
        </w:rPr>
        <w:t>It’s</w:t>
      </w:r>
      <w:proofErr w:type="gramEnd"/>
      <w:r>
        <w:rPr>
          <w:lang w:val="en-US" w:eastAsia="en-GB"/>
        </w:rPr>
        <w:t xml:space="preserve"> the best.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2FCADF96" w:rsidR="00A82C62" w:rsidRDefault="00807133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71974C53" w:rsidR="00A82C62" w:rsidRPr="004224A2" w:rsidRDefault="00807133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39AEE" w14:textId="77777777" w:rsidR="000D60B0" w:rsidRDefault="000D60B0" w:rsidP="002D1633">
      <w:r>
        <w:separator/>
      </w:r>
    </w:p>
  </w:endnote>
  <w:endnote w:type="continuationSeparator" w:id="0">
    <w:p w14:paraId="32D6F1BE" w14:textId="77777777" w:rsidR="000D60B0" w:rsidRDefault="000D60B0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F21D1" w14:textId="77777777" w:rsidR="000D60B0" w:rsidRDefault="000D60B0" w:rsidP="002D1633">
      <w:r>
        <w:separator/>
      </w:r>
    </w:p>
  </w:footnote>
  <w:footnote w:type="continuationSeparator" w:id="0">
    <w:p w14:paraId="18333EC2" w14:textId="77777777" w:rsidR="000D60B0" w:rsidRDefault="000D60B0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D60B0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31C6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0713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03E260-880E-4D06-8891-60F547CB3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Kalpit Gupta [CCE - 2018]</cp:lastModifiedBy>
  <cp:revision>2</cp:revision>
  <dcterms:created xsi:type="dcterms:W3CDTF">2020-05-27T22:23:00Z</dcterms:created>
  <dcterms:modified xsi:type="dcterms:W3CDTF">2020-05-27T22:23:00Z</dcterms:modified>
</cp:coreProperties>
</file>