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MeDisPract Tool - Questions for Clarification</w:t>
      </w:r>
    </w:p>
    <w:p>
      <w:pPr>
        <w:jc w:val="center"/>
      </w:pPr>
      <w:r>
        <w:rPr>
          <w:i/>
          <w:color w:val="595959"/>
          <w:sz w:val="20"/>
        </w:rPr>
        <w:t>Points requiring confirmation from Dr. Sandip Mukhopadhyay before field data collection</w:t>
      </w:r>
    </w:p>
    <w:p/>
    <w:p>
      <w:pPr>
        <w:spacing w:before="240" w:after="80"/>
      </w:pPr>
      <w:r>
        <w:rPr>
          <w:b/>
          <w:sz w:val="24"/>
        </w:rPr>
        <w:t>A. Scoring discrepancies in the tool document</w:t>
      </w:r>
    </w:p>
    <w:p>
      <w:pPr>
        <w:spacing w:after="120"/>
        <w:ind w:left="280"/>
      </w:pPr>
      <w:r>
        <w:t>1. Question 6 is defined as Yes=4 / No=0 but its raw score range is written as 0-8 - should the range be 0-4?</w:t>
      </w:r>
    </w:p>
    <w:p>
      <w:pPr>
        <w:spacing w:after="120"/>
        <w:ind w:left="280"/>
      </w:pPr>
      <w:r>
        <w:t>2. The category ranges list 'Very Poor 0-15' and 'Poor 0-15' as the same range - what are the correct cut-offs for each of the four categories?</w:t>
      </w:r>
    </w:p>
    <w:p>
      <w:pPr>
        <w:spacing w:after="120"/>
        <w:ind w:left="280"/>
      </w:pPr>
      <w:r>
        <w:t>3. Should the four categories be split as quartiles, i.e. 0-25 Very Poor, 26-50 Poor, 51-75 Fair, above 75 Good?</w:t>
      </w:r>
    </w:p>
    <w:p>
      <w:pPr>
        <w:spacing w:after="120"/>
        <w:ind w:left="280"/>
      </w:pPr>
      <w:r>
        <w:t>4. Should the MeDisPract Index be reported as a whole number or to one decimal place?</w:t>
      </w:r>
    </w:p>
    <w:p>
      <w:pPr>
        <w:spacing w:before="240" w:after="80"/>
      </w:pPr>
      <w:r>
        <w:rPr>
          <w:b/>
          <w:sz w:val="24"/>
        </w:rPr>
        <w:t>B. Question 7 - disposal methods</w:t>
      </w:r>
    </w:p>
    <w:p>
      <w:pPr>
        <w:spacing w:after="120"/>
        <w:ind w:left="280"/>
      </w:pPr>
      <w:r>
        <w:t>5. Question 7 has a raw score range of 0-8, but only two safe methods are listed, so a fully safe respondent can score at most 2 - is this intended?</w:t>
      </w:r>
    </w:p>
    <w:p>
      <w:pPr>
        <w:spacing w:after="120"/>
        <w:ind w:left="280"/>
      </w:pPr>
      <w:r>
        <w:t>6. Because of the above, a fully safe respondent reaches only 26 of 32 in the practice domain (81%) and the index is capped near 91 - is this acceptable?</w:t>
      </w:r>
    </w:p>
    <w:p>
      <w:pPr>
        <w:spacing w:after="120"/>
        <w:ind w:left="280"/>
      </w:pPr>
      <w:r>
        <w:t>7. Should unsafe methods deduct points instead of scoring zero, so that unsafe behaviour affects the score?</w:t>
      </w:r>
    </w:p>
    <w:p>
      <w:pPr>
        <w:spacing w:after="120"/>
        <w:ind w:left="280"/>
      </w:pPr>
      <w:r>
        <w:t>8. Should selecting a safe method together with an unsafe method score the same as selecting the safe method alone?</w:t>
      </w:r>
    </w:p>
    <w:p>
      <w:pPr>
        <w:spacing w:after="120"/>
        <w:ind w:left="280"/>
      </w:pPr>
      <w:r>
        <w:t>9. How many 'Other' free-text entries should be allowed in Question 7 - the document shows two?</w:t>
      </w:r>
    </w:p>
    <w:p>
      <w:pPr>
        <w:spacing w:after="120"/>
        <w:ind w:left="280"/>
      </w:pPr>
      <w:r>
        <w:t>10. Who decides whether an 'Other' method entered by the respondent counts as safe or unsafe - the interviewer or a fixed list?</w:t>
      </w:r>
    </w:p>
    <w:p>
      <w:pPr>
        <w:spacing w:after="120"/>
        <w:ind w:left="280"/>
      </w:pPr>
      <w:r>
        <w:t>11. Should Question 7 allow a 'Not applicable' option for a respondent who has never disposed of any medicine?</w:t>
      </w:r>
    </w:p>
    <w:p>
      <w:pPr>
        <w:spacing w:before="240" w:after="80"/>
      </w:pPr>
      <w:r>
        <w:rPr>
          <w:b/>
          <w:sz w:val="24"/>
        </w:rPr>
        <w:t>C. Index calculation</w:t>
      </w:r>
    </w:p>
    <w:p>
      <w:pPr>
        <w:spacing w:after="120"/>
        <w:ind w:left="280"/>
      </w:pPr>
      <w:r>
        <w:t>12. Should each domain be rescaled to 0-100 first and then combined, as the document describes?</w:t>
      </w:r>
    </w:p>
    <w:p>
      <w:pPr>
        <w:spacing w:after="120"/>
        <w:ind w:left="280"/>
      </w:pPr>
      <w:r>
        <w:t>13. Should the double weight for the practice domain be applied to the rescaled score rather than the raw score?</w:t>
      </w:r>
    </w:p>
    <w:p>
      <w:pPr>
        <w:spacing w:after="120"/>
        <w:ind w:left="280"/>
      </w:pPr>
      <w:r>
        <w:t>14. Is the combined index correctly calculated as (Practice x 2 + Knowledge + Readiness) divided by 4?</w:t>
      </w:r>
    </w:p>
    <w:p>
      <w:pPr>
        <w:spacing w:before="240" w:after="80"/>
      </w:pPr>
      <w:r>
        <w:rPr>
          <w:b/>
          <w:sz w:val="24"/>
        </w:rPr>
        <w:t>D. Data to be collected with each response</w:t>
      </w:r>
    </w:p>
    <w:p>
      <w:pPr>
        <w:spacing w:after="120"/>
        <w:ind w:left="280"/>
      </w:pPr>
      <w:r>
        <w:t>15. Should the date and time of the interview be recorded with every response?</w:t>
      </w:r>
    </w:p>
    <w:p>
      <w:pPr>
        <w:spacing w:after="120"/>
        <w:ind w:left="280"/>
      </w:pPr>
      <w:r>
        <w:t>16. Should the name or ID of the interviewer or data collector be recorded?</w:t>
      </w:r>
    </w:p>
    <w:p>
      <w:pPr>
        <w:spacing w:after="120"/>
        <w:ind w:left="280"/>
      </w:pPr>
      <w:r>
        <w:t>17. Is recorded informed consent required from the respondent before starting the assessment?</w:t>
      </w:r>
    </w:p>
    <w:p>
      <w:pPr>
        <w:spacing w:after="120"/>
        <w:ind w:left="280"/>
      </w:pPr>
      <w:r>
        <w:t>18. Should the respondent's name be stored, or should records be anonymised with only the household number?</w:t>
      </w:r>
    </w:p>
    <w:p>
      <w:pPr>
        <w:spacing w:after="120"/>
        <w:ind w:left="280"/>
      </w:pPr>
      <w:r>
        <w:t>19. Are there any additional demographic fields required, such as gender, education, occupation or family size?</w:t>
      </w:r>
    </w:p>
    <w:p>
      <w:pPr>
        <w:spacing w:after="120"/>
        <w:ind w:left="280"/>
      </w:pPr>
      <w:r>
        <w:t>20. Is there a minimum eligible age for a respondent?</w:t>
      </w:r>
    </w:p>
    <w:p>
      <w:pPr>
        <w:spacing w:after="120"/>
        <w:ind w:left="280"/>
      </w:pPr>
      <w:r>
        <w:t>21. Can a respondent who is not the head of the family complete the assessment?</w:t>
      </w:r>
    </w:p>
    <w:p>
      <w:pPr>
        <w:spacing w:before="240" w:after="80"/>
      </w:pPr>
      <w:r>
        <w:rPr>
          <w:b/>
          <w:sz w:val="24"/>
        </w:rPr>
        <w:t>E. Output and reporting</w:t>
      </w:r>
    </w:p>
    <w:p>
      <w:pPr>
        <w:spacing w:after="120"/>
        <w:ind w:left="280"/>
      </w:pPr>
      <w:r>
        <w:t>22. Should the exported file include the numeric score of each answer in addition to the selected option?</w:t>
      </w:r>
    </w:p>
    <w:p>
      <w:pPr>
        <w:spacing w:after="120"/>
        <w:ind w:left="280"/>
      </w:pPr>
      <w:r>
        <w:t>23. Should the exported file also show the raw and rescaled score of each of the three domains?</w:t>
      </w:r>
    </w:p>
    <w:p>
      <w:pPr>
        <w:spacing w:after="120"/>
        <w:ind w:left="280"/>
      </w:pPr>
      <w:r>
        <w:t>24. Should responses from all households be exportable together as a single combined sheet for analysis?</w:t>
      </w:r>
    </w:p>
    <w:p>
      <w:pPr>
        <w:spacing w:after="120"/>
        <w:ind w:left="280"/>
      </w:pPr>
      <w:r>
        <w:t>25. Should the respondent be shown their category and interpretation on screen, or only the researcher?</w:t>
      </w:r>
    </w:p>
    <w:p>
      <w:pPr>
        <w:spacing w:after="120"/>
        <w:ind w:left="280"/>
      </w:pPr>
      <w:r>
        <w:t>26. Is any specific file naming format required for the exported records?</w:t>
      </w:r>
    </w:p>
    <w:p>
      <w:pPr>
        <w:spacing w:before="240" w:after="80"/>
      </w:pPr>
      <w:r>
        <w:rPr>
          <w:b/>
          <w:sz w:val="24"/>
        </w:rPr>
        <w:t>F. Permissions and use</w:t>
      </w:r>
    </w:p>
    <w:p>
      <w:pPr>
        <w:spacing w:after="120"/>
        <w:ind w:left="280"/>
      </w:pPr>
      <w:r>
        <w:t>27. Is permission granted to use the tool in this digital application form?</w:t>
      </w:r>
    </w:p>
    <w:p>
      <w:pPr>
        <w:spacing w:after="120"/>
        <w:ind w:left="280"/>
      </w:pPr>
      <w:r>
        <w:t>28. Should the copyright and 'apply the whole tool together' notice be displayed to every respondent before starting?</w:t>
      </w:r>
    </w:p>
    <w:p>
      <w:pPr>
        <w:spacing w:after="120"/>
        <w:ind w:left="280"/>
      </w:pPr>
      <w:r>
        <w:t>29. Should the application display any institutional logo or study title?</w:t>
      </w:r>
    </w:p>
    <w:p/>
    <w:p>
      <w:r>
        <w:rPr>
          <w:i/>
          <w:color w:val="595959"/>
          <w:sz w:val="18"/>
        </w:rPr>
        <w:t>Prepared by Kalpojyoti Koch, Project Research Scientist, Amity Centre for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