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1). Clearance, volume of distribution and fraction unbound are whole-organism properties with smaller labeled sets, and are modeled by a compact factorized-descriptor network in which named physicochemical descriptor groups are kept in separate pathways (Fig. 2).</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1.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2.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G.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III and IV report the 10-seed ensemble performance of the proposed models, and Fig. 3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III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IV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III.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3. </w:t>
      </w:r>
      <w:r>
        <w:rPr>
          <w:sz w:val="16"/>
        </w:rPr>
        <w:t>Predicted versus observed values on the official test sets for the proposed models (10-seed ensemble). The solid line is the identity; the shaded band marks ±1 pKa unit (pKa) or two-fold error (CL, VDss, Fu). Inset metrics are ensemble values from Tables III and IV.</w:t>
      </w:r>
    </w:p>
    <w:p>
      <w:pPr>
        <w:pStyle w:val="Heading2"/>
      </w:pPr>
      <w:r>
        <w:t>B. Comparison With the Published Benchmark</w:t>
      </w:r>
    </w:p>
    <w:p>
      <w:pPr>
        <w:jc w:val="both"/>
      </w:pPr>
      <w:r>
        <w:rPr>
          <w:b w:val="0"/>
          <w:i w:val="0"/>
        </w:rPr>
        <w:t xml:space="preserve">Table V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 reports whether the published value lies inside the bootstrap 95% CI of the ensemble metric, and Fig. 4 shows the relative differences. The benchmark does, however, publish its own per-compound predictions for a 106-compound subset; Table VI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4.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 Fig. 5): the same compound-level bootstrap as above, resampling the same compounds for both models, which removes the compound-to-compound variation that dominates the marginal CIs of Table V.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III and IV, so it resolves only the larger differences; the absence of a resolved difference is not evidence of equivalence.</w:t>
      </w:r>
    </w:p>
    <w:p>
      <w:pPr>
        <w:keepNext/>
        <w:jc w:val="center"/>
      </w:pPr>
      <w:r>
        <w:rPr>
          <w:smallCaps/>
          <w:sz w:val="16"/>
        </w:rPr>
        <w:t>Table VI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3" name="Picture 3"/>
            <wp:cNvGraphicFramePr>
              <a:graphicFrameLocks noChangeAspect="1"/>
            </wp:cNvGraphicFramePr>
            <a:graphic>
              <a:graphicData uri="http://schemas.openxmlformats.org/drawingml/2006/picture">
                <pic:pic>
                  <pic:nvPicPr>
                    <pic:cNvPr id="0" name="fig3_paired_vs_jia.png"/>
                    <pic:cNvPicPr/>
                  </pic:nvPicPr>
                  <pic:blipFill>
                    <a:blip r:embed="rId11"/>
                    <a:stretch>
                      <a:fillRect/>
                    </a:stretch>
                  </pic:blipFill>
                  <pic:spPr>
                    <a:xfrm>
                      <a:off x="0" y="0"/>
                      <a:ext cx="5943600" cy="1812039"/>
                    </a:xfrm>
                    <a:prstGeom prst="rect"/>
                  </pic:spPr>
                </pic:pic>
              </a:graphicData>
            </a:graphic>
          </wp:inline>
        </w:drawing>
      </w:r>
    </w:p>
    <w:p>
      <w:pPr>
        <w:jc w:val="both"/>
      </w:pPr>
      <w:r>
        <w:rPr>
          <w:sz w:val="16"/>
        </w:rPr>
        <w:t xml:space="preserve">Fig. 5.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6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4" name="Picture 4"/>
            <wp:cNvGraphicFramePr>
              <a:graphicFrameLocks noChangeAspect="1"/>
            </wp:cNvGraphicFramePr>
            <a:graphic>
              <a:graphicData uri="http://schemas.openxmlformats.org/drawingml/2006/picture">
                <pic:pic>
                  <pic:nvPicPr>
                    <pic:cNvPr id="0" name="fig4_baselines.png"/>
                    <pic:cNvPicPr/>
                  </pic:nvPicPr>
                  <pic:blipFill>
                    <a:blip r:embed="rId12"/>
                    <a:stretch>
                      <a:fillRect/>
                    </a:stretch>
                  </pic:blipFill>
                  <pic:spPr>
                    <a:xfrm>
                      <a:off x="0" y="0"/>
                      <a:ext cx="5943600" cy="1711802"/>
                    </a:xfrm>
                    <a:prstGeom prst="rect"/>
                  </pic:spPr>
                </pic:pic>
              </a:graphicData>
            </a:graphic>
          </wp:inline>
        </w:drawing>
      </w:r>
    </w:p>
    <w:p>
      <w:pPr>
        <w:jc w:val="both"/>
      </w:pPr>
      <w:r>
        <w:rPr>
          <w:sz w:val="16"/>
        </w:rPr>
        <w:t xml:space="preserve">Fig. 6.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VIII and IX report 10-seed ablations retrained under the same protocol, training split and test split as the final models. For CL and VDss (Table VIII), the final model is compared with the base MFMN (no auxiliary supervision and no dynamic gating) and with the alternative MFMN variant that differs only in the gating mechanism (MFMN-InteractAux for CL; MFMN-DynGate for VDss); Fig. 7 shows the per-seed GMFE distributions. For pKa (Table IX),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VIII</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3108960" cy="1866579"/>
                    </a:xfrm>
                    <a:prstGeom prst="rect"/>
                  </pic:spPr>
                </pic:pic>
              </a:graphicData>
            </a:graphic>
          </wp:inline>
        </w:drawing>
      </w:r>
    </w:p>
    <w:p>
      <w:pPr>
        <w:jc w:val="both"/>
      </w:pPr>
      <w:r>
        <w:rPr>
          <w:sz w:val="16"/>
        </w:rPr>
        <w:t xml:space="preserve">Fig. 7.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IX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III.</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III–IV;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6" name="Picture 6"/>
            <wp:cNvGraphicFramePr>
              <a:graphicFrameLocks noChangeAspect="1"/>
            </wp:cNvGraphicFramePr>
            <a:graphic>
              <a:graphicData uri="http://schemas.openxmlformats.org/drawingml/2006/picture">
                <pic:pic>
                  <pic:nvPicPr>
                    <pic:cNvPr id="0" name="fig6_downstream.png"/>
                    <pic:cNvPicPr/>
                  </pic:nvPicPr>
                  <pic:blipFill>
                    <a:blip r:embed="rId14"/>
                    <a:stretch>
                      <a:fillRect/>
                    </a:stretch>
                  </pic:blipFill>
                  <pic:spPr>
                    <a:xfrm>
                      <a:off x="0" y="0"/>
                      <a:ext cx="5943600" cy="2660336"/>
                    </a:xfrm>
                    <a:prstGeom prst="rect"/>
                  </pic:spPr>
                </pic:pic>
              </a:graphicData>
            </a:graphic>
          </wp:inline>
        </w:drawing>
      </w:r>
    </w:p>
    <w:p>
      <w:pPr>
        <w:jc w:val="both"/>
      </w:pPr>
      <w:r>
        <w:rPr>
          <w:sz w:val="16"/>
        </w:rPr>
        <w:t xml:space="preserve">Fig. 8.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 and on the subset where the benchmark's own per-compound predictions are available the improvement is resolved by a paired test on R², MAE and RMSE for both endpoints (Table VI).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 and the exposure analysis of Table X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