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III reports whether the published value lies inside the bootstrap 95% CI of the ensemble metric, and Fig. 2 shows the relative differences. The benchmark does, however, publish its own per-compound predictions for a 106-compound subset; Table IV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IV, Fig. 3): the same compound-level bootstrap as above, resampling the same compounds for both models, which removes the compound-to-compound variation that dominates the marginal CIs of Table III.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 and II, so it resolves only the larger differences; the absence of a resolved difference is not evidence of equivalence.</w:t>
      </w:r>
    </w:p>
    <w:p>
      <w:pPr>
        <w:keepNext/>
        <w:jc w:val="center"/>
      </w:pPr>
      <w:r>
        <w:rPr>
          <w:smallCaps/>
          <w:sz w:val="16"/>
        </w:rPr>
        <w:t>Table IV</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3.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4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4.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VI and VII report 10-seed ablations retrained under the same protocol, training split and test split as the final models. For CL and VDss (Table VI), the final model is compared with the base MFMN (no auxiliary supervision and no dynamic gating) and with the alternative MFMN variant that differs only in the gating mechanism (MFMN-InteractAux for CL; MFMN-DynGate for VDss); Fig. 5 shows the per-seed GMFE distributions. For pKa (Table VII),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VI</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5.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VII</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VIII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VIII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IV.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6.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VI.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III), and on the subset where the benchmark's own per-compound predictions are available the improvement is resolved by a paired test on R², MAE and RMSE for both endpoints (Table IV).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III).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IV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IV and the exposure analysis of Table VIII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III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