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6316717"/>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6316717"/>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then follow the same protocol: the official split, with ten independent seeds averaged into a single ensemble prediction; the metrics used to score those predictions are given in Section III-G. Quantum-chemical features enter the graph models as per-atom charges and bond orders and the CL and VDss models as whole-molecule frontier-orbital terms; the Fu model uses deterministic descriptors only. Figs. 3 and 4 detail the two architectures.</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3.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4.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3" name="Picture 3"/>
            <wp:cNvGraphicFramePr>
              <a:graphicFrameLocks noChangeAspect="1"/>
            </wp:cNvGraphicFramePr>
            <a:graphic>
              <a:graphicData uri="http://schemas.openxmlformats.org/drawingml/2006/picture">
                <pic:pic>
                  <pic:nvPicPr>
                    <pic:cNvPr id="0" name="fig1_parity.png"/>
                    <pic:cNvPicPr/>
                  </pic:nvPicPr>
                  <pic:blipFill>
                    <a:blip r:embed="rId11"/>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4" name="Picture 4"/>
            <wp:cNvGraphicFramePr>
              <a:graphicFrameLocks noChangeAspect="1"/>
            </wp:cNvGraphicFramePr>
            <a:graphic>
              <a:graphicData uri="http://schemas.openxmlformats.org/drawingml/2006/picture">
                <pic:pic>
                  <pic:nvPicPr>
                    <pic:cNvPr id="0" name="fig2_vs_paper.png"/>
                    <pic:cNvPicPr/>
                  </pic:nvPicPr>
                  <pic:blipFill>
                    <a:blip r:embed="rId12"/>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5" name="Picture 5"/>
            <wp:cNvGraphicFramePr>
              <a:graphicFrameLocks noChangeAspect="1"/>
            </wp:cNvGraphicFramePr>
            <a:graphic>
              <a:graphicData uri="http://schemas.openxmlformats.org/drawingml/2006/picture">
                <pic:pic>
                  <pic:nvPicPr>
                    <pic:cNvPr id="0" name="fig3_paired_vs_jia.png"/>
                    <pic:cNvPicPr/>
                  </pic:nvPicPr>
                  <pic:blipFill>
                    <a:blip r:embed="rId13"/>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6" name="Picture 6"/>
            <wp:cNvGraphicFramePr>
              <a:graphicFrameLocks noChangeAspect="1"/>
            </wp:cNvGraphicFramePr>
            <a:graphic>
              <a:graphicData uri="http://schemas.openxmlformats.org/drawingml/2006/picture">
                <pic:pic>
                  <pic:nvPicPr>
                    <pic:cNvPr id="0" name="fig4_baselines.png"/>
                    <pic:cNvPicPr/>
                  </pic:nvPicPr>
                  <pic:blipFill>
                    <a:blip r:embed="rId14"/>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7" name="Picture 7"/>
            <wp:cNvGraphicFramePr>
              <a:graphicFrameLocks noChangeAspect="1"/>
            </wp:cNvGraphicFramePr>
            <a:graphic>
              <a:graphicData uri="http://schemas.openxmlformats.org/drawingml/2006/picture">
                <pic:pic>
                  <pic:nvPicPr>
                    <pic:cNvPr id="0" name="fig5_ablation.png"/>
                    <pic:cNvPicPr/>
                  </pic:nvPicPr>
                  <pic:blipFill>
                    <a:blip r:embed="rId15"/>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8" name="Picture 8"/>
            <wp:cNvGraphicFramePr>
              <a:graphicFrameLocks noChangeAspect="1"/>
            </wp:cNvGraphicFramePr>
            <a:graphic>
              <a:graphicData uri="http://schemas.openxmlformats.org/drawingml/2006/picture">
                <pic:pic>
                  <pic:nvPicPr>
                    <pic:cNvPr id="0" name="fig6_downstream.png"/>
                    <pic:cNvPicPr/>
                  </pic:nvPicPr>
                  <pic:blipFill>
                    <a:blip r:embed="rId16"/>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