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 Results</w:t>
      </w:r>
    </w:p>
    <w:p>
      <w:pPr>
        <w:jc w:val="both"/>
      </w:pPr>
      <w:r>
        <w:rPr>
          <w:b/>
          <w:i w:val="0"/>
          <w:color w:val="C00000"/>
          <w:sz w:val="16"/>
        </w:rPr>
        <w:t>[Draft – Results section only. Section number, reference numbers and cross-references to the Methods/Experiments sections are placeholders to be aligned with the full manuscript.]</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 and II report the 10-seed ensemble performance of the proposed models, and Fig. 1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II</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1. </w:t>
      </w:r>
      <w:r>
        <w:rPr>
          <w:sz w:val="16"/>
        </w:rPr>
        <w:t>Predicted versus observed values on the official test sets for the proposed models (10-seed ensemble). The solid line is the identity; the shaded band marks ±1 pKa unit (pKa) or two-fold error (CL, VDss, Fu). Inset metrics are ensemble values from Tables I and II.</w:t>
      </w:r>
    </w:p>
    <w:p>
      <w:pPr>
        <w:pStyle w:val="Heading2"/>
      </w:pPr>
      <w:r>
        <w:t>B. Comparison With the Published Benchmark</w:t>
      </w:r>
    </w:p>
    <w:p>
      <w:pPr>
        <w:jc w:val="both"/>
      </w:pPr>
      <w:r>
        <w:rPr>
          <w:b w:val="0"/>
          <w:i w:val="0"/>
        </w:rPr>
        <w:t xml:space="preserve">Table III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III reports whether the published value lies inside the bootstrap 95% CI of the ensemble metric, and Fig. 2 shows the relative differences. The benchmark does, however, publish its own per-compound predictions for a 106-compound subset; Table IV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III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2.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IV, Fig. 3): the same compound-level bootstrap as above, resampling the same compounds for both models, which removes the compound-to-compound variation that dominates the marginal CIs of Table III.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 and II, so it resolves only the larger differences; the absence of a resolved difference is not evidence of equivalence.</w:t>
      </w:r>
    </w:p>
    <w:p>
      <w:pPr>
        <w:keepNext/>
        <w:jc w:val="center"/>
      </w:pPr>
      <w:r>
        <w:rPr>
          <w:smallCaps/>
          <w:sz w:val="16"/>
        </w:rPr>
        <w:t>Table IV</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3" name="Picture 3"/>
            <wp:cNvGraphicFramePr>
              <a:graphicFrameLocks noChangeAspect="1"/>
            </wp:cNvGraphicFramePr>
            <a:graphic>
              <a:graphicData uri="http://schemas.openxmlformats.org/drawingml/2006/picture">
                <pic:pic>
                  <pic:nvPicPr>
                    <pic:cNvPr id="0" name="fig3_paired_vs_jia.png"/>
                    <pic:cNvPicPr/>
                  </pic:nvPicPr>
                  <pic:blipFill>
                    <a:blip r:embed="rId11"/>
                    <a:stretch>
                      <a:fillRect/>
                    </a:stretch>
                  </pic:blipFill>
                  <pic:spPr>
                    <a:xfrm>
                      <a:off x="0" y="0"/>
                      <a:ext cx="5943600" cy="1812039"/>
                    </a:xfrm>
                    <a:prstGeom prst="rect"/>
                  </pic:spPr>
                </pic:pic>
              </a:graphicData>
            </a:graphic>
          </wp:inline>
        </w:drawing>
      </w:r>
    </w:p>
    <w:p>
      <w:pPr>
        <w:jc w:val="both"/>
      </w:pPr>
      <w:r>
        <w:rPr>
          <w:sz w:val="16"/>
        </w:rPr>
        <w:t xml:space="preserve">Fig. 3.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4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4" name="Picture 4"/>
            <wp:cNvGraphicFramePr>
              <a:graphicFrameLocks noChangeAspect="1"/>
            </wp:cNvGraphicFramePr>
            <a:graphic>
              <a:graphicData uri="http://schemas.openxmlformats.org/drawingml/2006/picture">
                <pic:pic>
                  <pic:nvPicPr>
                    <pic:cNvPr id="0" name="fig4_baselines.png"/>
                    <pic:cNvPicPr/>
                  </pic:nvPicPr>
                  <pic:blipFill>
                    <a:blip r:embed="rId12"/>
                    <a:stretch>
                      <a:fillRect/>
                    </a:stretch>
                  </pic:blipFill>
                  <pic:spPr>
                    <a:xfrm>
                      <a:off x="0" y="0"/>
                      <a:ext cx="5943600" cy="1711802"/>
                    </a:xfrm>
                    <a:prstGeom prst="rect"/>
                  </pic:spPr>
                </pic:pic>
              </a:graphicData>
            </a:graphic>
          </wp:inline>
        </w:drawing>
      </w:r>
    </w:p>
    <w:p>
      <w:pPr>
        <w:jc w:val="both"/>
      </w:pPr>
      <w:r>
        <w:rPr>
          <w:sz w:val="16"/>
        </w:rPr>
        <w:t xml:space="preserve">Fig. 4.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VI and VII report 10-seed ablations retrained under the same protocol, training split and test split as the final models. For CL and VDss (Table VI), the final model is compared with the base MFMN (no auxiliary supervision and no dynamic gating) and with the alternative MFMN variant that differs only in the gating mechanism (MFMN-InteractAux for CL; MFMN-DynGate for VDss); Fig. 5 shows the per-seed GMFE distributions. For pKa (Table VII),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VI</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II;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3108960" cy="1866579"/>
                    </a:xfrm>
                    <a:prstGeom prst="rect"/>
                  </pic:spPr>
                </pic:pic>
              </a:graphicData>
            </a:graphic>
          </wp:inline>
        </w:drawing>
      </w:r>
    </w:p>
    <w:p>
      <w:pPr>
        <w:jc w:val="both"/>
      </w:pPr>
      <w:r>
        <w:rPr>
          <w:sz w:val="16"/>
        </w:rPr>
        <w:t xml:space="preserve">Fig. 5.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VII</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w:t>
      </w:r>
    </w:p>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