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 Results</w:t>
      </w:r>
    </w:p>
    <w:p>
      <w:pPr>
        <w:jc w:val="both"/>
      </w:pPr>
      <w:r>
        <w:rPr>
          <w:b/>
          <w:i w:val="0"/>
          <w:color w:val="C00000"/>
          <w:sz w:val="16"/>
        </w:rPr>
        <w:t>[Draft – Results section only. Section number, reference numbers and cross-references to the Methods/Experiments sections are placeholders to be aligned with the full manuscript.]</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 and II report the 10-seed ensemble performance of the proposed models, and Fig. 1 shows the corresponding parity plots. On pKa, GraphMPNN achieves an ensemble R² of 0.969 (95% CI 0.956–0.979) and an MAE of 0.424 pKa units on the acidic test set (n = 776), and an R² of 0.948 (0.934–0.959) with an MAE of 0.416 on the basic test set (n = 815). 91.0% and 89.9%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0.948 [0.934, 0.959]</w:t>
            </w:r>
          </w:p>
        </w:tc>
        <w:tc>
          <w:tcPr>
            <w:tcW w:type="dxa" w:w="1872"/>
          </w:tcPr>
          <w:p>
            <w:pPr>
              <w:spacing w:after="0" w:line="240" w:lineRule="auto"/>
              <w:jc w:val="center"/>
            </w:pPr>
            <w:r/>
            <w:r>
              <w:rPr>
                <w:sz w:val="15"/>
              </w:rPr>
              <w:t>0.937 ± 0.003</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0.416 [0.381, 0.452]</w:t>
            </w:r>
          </w:p>
        </w:tc>
        <w:tc>
          <w:tcPr>
            <w:tcW w:type="dxa" w:w="1872"/>
          </w:tcPr>
          <w:p>
            <w:pPr>
              <w:spacing w:after="0" w:line="240" w:lineRule="auto"/>
              <w:jc w:val="center"/>
            </w:pPr>
            <w:r/>
            <w:r>
              <w:rPr>
                <w:sz w:val="15"/>
              </w:rPr>
              <w:t>0.472 ± 0.010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0.670 [0.591, 0.756]</w:t>
            </w:r>
          </w:p>
        </w:tc>
        <w:tc>
          <w:tcPr>
            <w:tcW w:type="dxa" w:w="1872"/>
          </w:tcPr>
          <w:p>
            <w:pPr>
              <w:spacing w:after="0" w:line="240" w:lineRule="auto"/>
              <w:jc w:val="center"/>
            </w:pPr>
            <w:r/>
            <w:r>
              <w:rPr>
                <w:sz w:val="15"/>
              </w:rPr>
              <w:t>0.736 ± 0.016</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0.899 [0.879, 0.919]</w:t>
            </w:r>
          </w:p>
        </w:tc>
        <w:tc>
          <w:tcPr>
            <w:tcW w:type="dxa" w:w="1872"/>
            <w:tcBorders>
              <w:bottom w:val="single" w:sz="6" w:space="0" w:color="000000"/>
            </w:tcBorders>
          </w:tcPr>
          <w:p>
            <w:pPr>
              <w:spacing w:after="0" w:line="240" w:lineRule="auto"/>
              <w:jc w:val="center"/>
            </w:pPr>
            <w:r/>
            <w:r>
              <w:rPr>
                <w:sz w:val="15"/>
              </w:rPr>
              <w:t>0.885 ± 0.009</w:t>
            </w:r>
          </w:p>
        </w:tc>
      </w:tr>
    </w:tbl>
    <w:p>
      <w:pPr>
        <w:spacing w:after="0"/>
      </w:pPr>
      <w:r>
        <w:rPr>
          <w:sz w:val="14"/>
        </w:rPr>
        <w:t>Ensemble: mean prediction of 10 seeds; CI: compound-level bootstrap, B = 10 000. Seed mean ± SD over the 10 individually trained seeds. MAE and RMSE in pKa units; W1: fraction within 1 pKa unit.</w:t>
      </w:r>
    </w:p>
    <w:p>
      <w:pPr>
        <w:spacing w:after="40"/>
      </w:pPr>
    </w:p>
    <w:p>
      <w:pPr>
        <w:keepNext/>
        <w:jc w:val="center"/>
      </w:pPr>
      <w:r>
        <w:rPr>
          <w:smallCaps/>
          <w:sz w:val="16"/>
        </w:rPr>
        <w:t>Table II</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w:t>
      </w:r>
    </w:p>
    <w:p>
      <w:pPr>
        <w:spacing w:after="40"/>
      </w:pPr>
    </w:p>
    <w:p>
      <w:pPr>
        <w:jc w:val="center"/>
      </w:pPr>
      <w:r>
        <w:drawing>
          <wp:inline xmlns:a="http://schemas.openxmlformats.org/drawingml/2006/main" xmlns:pic="http://schemas.openxmlformats.org/drawingml/2006/picture">
            <wp:extent cx="5943600" cy="1493891"/>
            <wp:docPr id="1" name="Picture 1"/>
            <wp:cNvGraphicFramePr>
              <a:graphicFrameLocks noChangeAspect="1"/>
            </wp:cNvGraphicFramePr>
            <a:graphic>
              <a:graphicData uri="http://schemas.openxmlformats.org/drawingml/2006/picture">
                <pic:pic>
                  <pic:nvPicPr>
                    <pic:cNvPr id="0" name="fig1_parity.png"/>
                    <pic:cNvPicPr/>
                  </pic:nvPicPr>
                  <pic:blipFill>
                    <a:blip r:embed="rId9"/>
                    <a:stretch>
                      <a:fillRect/>
                    </a:stretch>
                  </pic:blipFill>
                  <pic:spPr>
                    <a:xfrm>
                      <a:off x="0" y="0"/>
                      <a:ext cx="5943600" cy="1493891"/>
                    </a:xfrm>
                    <a:prstGeom prst="rect"/>
                  </pic:spPr>
                </pic:pic>
              </a:graphicData>
            </a:graphic>
          </wp:inline>
        </w:drawing>
      </w:r>
    </w:p>
    <w:p>
      <w:pPr>
        <w:jc w:val="both"/>
      </w:pPr>
      <w:r>
        <w:rPr>
          <w:sz w:val="16"/>
        </w:rPr>
        <w:t xml:space="preserve">Fig. 1. </w:t>
      </w:r>
      <w:r>
        <w:rPr>
          <w:sz w:val="16"/>
        </w:rPr>
        <w:t>Predicted versus observed values on the official test sets for the proposed models (10-seed ensemble). The solid line is the identity; the shaded band marks ±1 pKa unit (pKa) or two-fold error (CL, VDss, Fu). Inset metrics are ensemble values from Tables I and II.</w:t>
      </w:r>
    </w:p>
    <w:p>
      <w:pPr>
        <w:pStyle w:val="Heading2"/>
      </w:pPr>
      <w:r>
        <w:t>B. Comparison With the Published Benchmark</w:t>
      </w:r>
    </w:p>
    <w:p>
      <w:pPr>
        <w:jc w:val="both"/>
      </w:pPr>
      <w:r>
        <w:rPr>
          <w:b w:val="0"/>
          <w:i w:val="0"/>
        </w:rPr>
        <w:t xml:space="preserve">Table III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The benchmark reports point estimates only, so a paired test against it is not possible; instead, we report whether the published value lies inside the bootstrap 95% CI of the ensemble metric. Fig. 2 shows the relative differences.</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0.416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III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0.948 [0.934, 0.959]</w:t>
            </w:r>
          </w:p>
        </w:tc>
        <w:tc>
          <w:tcPr>
            <w:tcW w:type="dxa" w:w="1224"/>
          </w:tcPr>
          <w:p>
            <w:pPr>
              <w:spacing w:after="0" w:line="240" w:lineRule="auto"/>
              <w:jc w:val="center"/>
            </w:pPr>
            <w:r/>
            <w:r>
              <w:rPr>
                <w:sz w:val="15"/>
              </w:rPr>
              <w:t>+0.038</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0.416 [0.381, 0.452]</w:t>
            </w:r>
          </w:p>
        </w:tc>
        <w:tc>
          <w:tcPr>
            <w:tcW w:type="dxa" w:w="1224"/>
          </w:tcPr>
          <w:p>
            <w:pPr>
              <w:spacing w:after="0" w:line="240" w:lineRule="auto"/>
              <w:jc w:val="center"/>
            </w:pPr>
            <w:r/>
            <w:r>
              <w:rPr>
                <w:sz w:val="15"/>
              </w:rPr>
              <w:t>−0.254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0.472</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0.670 [0.591, 0.756]</w:t>
            </w:r>
          </w:p>
        </w:tc>
        <w:tc>
          <w:tcPr>
            <w:tcW w:type="dxa" w:w="1224"/>
          </w:tcPr>
          <w:p>
            <w:pPr>
              <w:spacing w:after="0" w:line="240" w:lineRule="auto"/>
              <w:jc w:val="center"/>
            </w:pPr>
            <w:r/>
            <w:r>
              <w:rPr>
                <w:sz w:val="15"/>
              </w:rPr>
              <w:t>−0.310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0.736</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2" name="Picture 2"/>
            <wp:cNvGraphicFramePr>
              <a:graphicFrameLocks noChangeAspect="1"/>
            </wp:cNvGraphicFramePr>
            <a:graphic>
              <a:graphicData uri="http://schemas.openxmlformats.org/drawingml/2006/picture">
                <pic:pic>
                  <pic:nvPicPr>
                    <pic:cNvPr id="0" name="fig2_vs_paper.png"/>
                    <pic:cNvPicPr/>
                  </pic:nvPicPr>
                  <pic:blipFill>
                    <a:blip r:embed="rId10"/>
                    <a:stretch>
                      <a:fillRect/>
                    </a:stretch>
                  </pic:blipFill>
                  <pic:spPr>
                    <a:xfrm>
                      <a:off x="0" y="0"/>
                      <a:ext cx="3108960" cy="3201765"/>
                    </a:xfrm>
                    <a:prstGeom prst="rect"/>
                  </pic:spPr>
                </pic:pic>
              </a:graphicData>
            </a:graphic>
          </wp:inline>
        </w:drawing>
      </w:r>
    </w:p>
    <w:p>
      <w:pPr>
        <w:jc w:val="both"/>
      </w:pPr>
      <w:r>
        <w:rPr>
          <w:sz w:val="16"/>
        </w:rPr>
        <w:t xml:space="preserve">Fig. 2.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Comparison With Untuned Classical Baselines</w:t>
      </w:r>
    </w:p>
    <w:p>
      <w:pPr>
        <w:jc w:val="both"/>
      </w:pPr>
      <w:r>
        <w:rPr>
          <w:b w:val="0"/>
          <w:i w:val="0"/>
        </w:rPr>
        <w:t>Table IV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3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0.416).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IV</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0.948</w:t>
            </w:r>
          </w:p>
        </w:tc>
        <w:tc>
          <w:tcPr>
            <w:tcW w:type="dxa" w:w="1584"/>
          </w:tcPr>
          <w:p>
            <w:pPr>
              <w:spacing w:after="0" w:line="240" w:lineRule="auto"/>
              <w:jc w:val="center"/>
            </w:pPr>
            <w:r/>
            <w:r>
              <w:rPr>
                <w:b/>
                <w:sz w:val="15"/>
              </w:rPr>
              <w:t>0.416</w:t>
            </w:r>
          </w:p>
        </w:tc>
        <w:tc>
          <w:tcPr>
            <w:tcW w:type="dxa" w:w="1584"/>
          </w:tcPr>
          <w:p>
            <w:pPr>
              <w:spacing w:after="0" w:line="240" w:lineRule="auto"/>
              <w:jc w:val="center"/>
            </w:pPr>
            <w:r/>
            <w:r>
              <w:rPr>
                <w:b/>
                <w:sz w:val="15"/>
              </w:rPr>
              <w:t>0.670</w:t>
            </w:r>
          </w:p>
        </w:tc>
        <w:tc>
          <w:tcPr>
            <w:tcW w:type="dxa" w:w="1584"/>
          </w:tcPr>
          <w:p>
            <w:pPr>
              <w:spacing w:after="0" w:line="240" w:lineRule="auto"/>
              <w:jc w:val="center"/>
            </w:pPr>
            <w:r/>
            <w:r>
              <w:rPr>
                <w:b/>
                <w:sz w:val="15"/>
              </w:rPr>
              <w:t>0.899</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3" name="Picture 3"/>
            <wp:cNvGraphicFramePr>
              <a:graphicFrameLocks noChangeAspect="1"/>
            </wp:cNvGraphicFramePr>
            <a:graphic>
              <a:graphicData uri="http://schemas.openxmlformats.org/drawingml/2006/picture">
                <pic:pic>
                  <pic:nvPicPr>
                    <pic:cNvPr id="0" name="fig3_baselines.png"/>
                    <pic:cNvPicPr/>
                  </pic:nvPicPr>
                  <pic:blipFill>
                    <a:blip r:embed="rId11"/>
                    <a:stretch>
                      <a:fillRect/>
                    </a:stretch>
                  </pic:blipFill>
                  <pic:spPr>
                    <a:xfrm>
                      <a:off x="0" y="0"/>
                      <a:ext cx="5943600" cy="1711802"/>
                    </a:xfrm>
                    <a:prstGeom prst="rect"/>
                  </pic:spPr>
                </pic:pic>
              </a:graphicData>
            </a:graphic>
          </wp:inline>
        </w:drawing>
      </w:r>
    </w:p>
    <w:p>
      <w:pPr>
        <w:jc w:val="both"/>
      </w:pPr>
      <w:r>
        <w:rPr>
          <w:sz w:val="16"/>
        </w:rPr>
        <w:t xml:space="preserve">Fig. 3.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D. Ablation Study</w:t>
      </w:r>
    </w:p>
    <w:p>
      <w:pPr>
        <w:jc w:val="both"/>
      </w:pPr>
      <w:r>
        <w:rPr>
          <w:b w:val="0"/>
          <w:i w:val="0"/>
        </w:rPr>
        <w:t>Tables V and VI report 10-seed ablations retrained under the same protocol, training split and test split as the final models. For CL and VDss (Table V), the final model is compared with the base MFMN (no auxiliary supervision and no dynamic gating) and with the alternative MFMN variant that differs only in the gating mechanism (MFMN-InteractAux for CL; MFMN-DynGate for VDss); Fig. 4 shows the per-seed GMFE distributions. For pKa (Table VI), the xTB-derived features, the edge gating and the ionizable-site readout of GraphMPNN are removed one at a time. For Fu, the low-fu training-loss weight is removed. Variant–final differences use the same paired compound-level bootstrap as Section C.</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V</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II;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4" name="Picture 4"/>
            <wp:cNvGraphicFramePr>
              <a:graphicFrameLocks noChangeAspect="1"/>
            </wp:cNvGraphicFramePr>
            <a:graphic>
              <a:graphicData uri="http://schemas.openxmlformats.org/drawingml/2006/picture">
                <pic:pic>
                  <pic:nvPicPr>
                    <pic:cNvPr id="0" name="fig4_ablation.png"/>
                    <pic:cNvPicPr/>
                  </pic:nvPicPr>
                  <pic:blipFill>
                    <a:blip r:embed="rId12"/>
                    <a:stretch>
                      <a:fillRect/>
                    </a:stretch>
                  </pic:blipFill>
                  <pic:spPr>
                    <a:xfrm>
                      <a:off x="0" y="0"/>
                      <a:ext cx="3108960" cy="1866579"/>
                    </a:xfrm>
                    <a:prstGeom prst="rect"/>
                  </pic:spPr>
                </pic:pic>
              </a:graphicData>
            </a:graphic>
          </wp:inline>
        </w:drawing>
      </w:r>
    </w:p>
    <w:p>
      <w:pPr>
        <w:jc w:val="both"/>
      </w:pPr>
      <w:r>
        <w:rPr>
          <w:sz w:val="16"/>
        </w:rPr>
        <w:t xml:space="preserve">Fig. 4.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variants have the better point estimate on some metrics (e.g., RMSE 0.754 without edge gating vs. 0.757), but these differences are smaller than one seed-to-seed SD.</w:t>
      </w:r>
    </w:p>
    <w:p>
      <w:pPr>
        <w:jc w:val="both"/>
      </w:pPr>
      <w:r>
        <w:rPr>
          <w:b w:val="0"/>
          <w:i w:val="0"/>
        </w:rPr>
        <w:t>On pKa (basic), removing the xTB-derived features degrades the model: R² decreases from 0.948 to 0.943 (paired-difference CI, final − variant, [0.0014, 0.0097]) and RMSE increases from 0.670 to 0.703 (CI [-0.0572, -0.0092]), both resolved; the MAE and W1 differences are not. Removing edge gating has no resolved effect. Removing the ionizable-site readout does not degrade the model: the variant without it has the better point estimate on all four metrics (R² 0.950, MAE 0.406, RMSE 0.654 vs. 0.948, 0.416 and 0.670 for the final model). None of these differences is resolved by the paired bootstrap, although the MAE CI only just includes zero (final − variant CI [-0.0001, 0.0203]), and the variant has a higher R² than the final model for 9 of the 10 seeds when paired by seed index.</w:t>
      </w:r>
    </w:p>
    <w:p>
      <w:pPr>
        <w:jc w:val="both"/>
      </w:pPr>
      <w:r>
        <w:rPr>
          <w:b/>
          <w:i w:val="0"/>
          <w:color w:val="C00000"/>
          <w:sz w:val="17"/>
        </w:rPr>
        <w:t>[NEEDS: author decision. (1) The original code for the GraphMPNN ablation variants is not in the project; the variants were reconstructed from their names. Only 'w/o xTB features' on pKa (acidic) reproduces the stored single-seed (seed 42) result within |ΔR²|, |ΔMAE| ≤ 0.002; the other five rows (marked * in Table VI) do not, so they may not be the same models as the original ablation. State this in Methods or verify the variants before submission. (2) On pKa (basic), the site readout does not help on this test set; either justify keeping it in the final model (e.g., by validation-set or cross-validation evidence) or reconsider the final architecture. Do not describe the site readout as a contributing component on the basis of Table VI.]</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jc w:val="both"/>
      </w:pPr>
      <w:r>
        <w:rPr>
          <w:b/>
          <w:i w:val="0"/>
          <w:color w:val="C00000"/>
          <w:sz w:val="17"/>
        </w:rPr>
        <w:t>[NEEDS: author decision on the Fu ablation. The 10-seed unweighted MFMN-DynGate run did not reproduce the stored single-seed result (seed-42 gate failed for every candidate code path; attributed to environment drift) and was run with this caveat. A 'base MFMN' Fu row was also run but is omitted: the code attributed to it trains MFMN-InteractAux (aux_weight 0.3), not a plain MFMN, and does not reproduce the stored row. Decide whether to report the loss-weight ablation with this caveat, and note that the loss weight was one of seven ideas tried (test-set exposure).]</w:t>
      </w:r>
    </w:p>
    <w:p>
      <w:pPr>
        <w:keepNext/>
        <w:jc w:val="center"/>
      </w:pPr>
      <w:r>
        <w:rPr>
          <w:smallCaps/>
          <w:sz w:val="16"/>
        </w:rPr>
        <w:t>Table VI</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800"/>
            <w:tcBorders>
              <w:top w:val="single" w:sz="6" w:space="0" w:color="000000"/>
              <w:bottom w:val="single" w:sz="6" w:space="0" w:color="000000"/>
            </w:tcBorders>
          </w:tcPr>
          <w:p>
            <w:pPr>
              <w:spacing w:after="0" w:line="240" w:lineRule="auto"/>
              <w:jc w:val="center"/>
            </w:pPr>
            <w:r/>
            <w:r>
              <w:rPr>
                <w:b/>
                <w:sz w:val="15"/>
              </w:rPr>
              <w:t>Variant</w:t>
            </w:r>
          </w:p>
        </w:tc>
        <w:tc>
          <w:tcPr>
            <w:tcW w:type="dxa" w:w="1613"/>
            <w:tcBorders>
              <w:top w:val="single" w:sz="6" w:space="0" w:color="000000"/>
              <w:bottom w:val="single" w:sz="6" w:space="0" w:color="000000"/>
            </w:tcBorders>
          </w:tcPr>
          <w:p>
            <w:pPr>
              <w:spacing w:after="0" w:line="240" w:lineRule="auto"/>
              <w:jc w:val="center"/>
            </w:pPr>
            <w:r/>
            <w:r>
              <w:rPr>
                <w:b/>
                <w:sz w:val="15"/>
              </w:rPr>
              <w:t>R²</w:t>
            </w:r>
          </w:p>
        </w:tc>
        <w:tc>
          <w:tcPr>
            <w:tcW w:type="dxa" w:w="1613"/>
            <w:tcBorders>
              <w:top w:val="single" w:sz="6" w:space="0" w:color="000000"/>
              <w:bottom w:val="single" w:sz="6" w:space="0" w:color="000000"/>
            </w:tcBorders>
          </w:tcPr>
          <w:p>
            <w:pPr>
              <w:spacing w:after="0" w:line="240" w:lineRule="auto"/>
              <w:jc w:val="center"/>
            </w:pPr>
            <w:r/>
            <w:r>
              <w:rPr>
                <w:b/>
                <w:sz w:val="15"/>
              </w:rPr>
              <w:t>MAE</w:t>
            </w:r>
          </w:p>
        </w:tc>
        <w:tc>
          <w:tcPr>
            <w:tcW w:type="dxa" w:w="1613"/>
            <w:tcBorders>
              <w:top w:val="single" w:sz="6" w:space="0" w:color="000000"/>
              <w:bottom w:val="single" w:sz="6" w:space="0" w:color="000000"/>
            </w:tcBorders>
          </w:tcPr>
          <w:p>
            <w:pPr>
              <w:spacing w:after="0" w:line="240" w:lineRule="auto"/>
              <w:jc w:val="center"/>
            </w:pPr>
            <w:r/>
            <w:r>
              <w:rPr>
                <w:b/>
                <w:sz w:val="15"/>
              </w:rPr>
              <w:t>RMSE</w:t>
            </w:r>
          </w:p>
        </w:tc>
        <w:tc>
          <w:tcPr>
            <w:tcW w:type="dxa" w:w="1613"/>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800"/>
          </w:tcPr>
          <w:p>
            <w:pPr>
              <w:spacing w:after="0" w:line="240" w:lineRule="auto"/>
              <w:jc w:val="center"/>
            </w:pPr>
            <w:r/>
            <w:r>
              <w:rPr>
                <w:sz w:val="15"/>
              </w:rPr>
              <w:t>w/o xTB features</w:t>
            </w:r>
          </w:p>
        </w:tc>
        <w:tc>
          <w:tcPr>
            <w:tcW w:type="dxa" w:w="1613"/>
          </w:tcPr>
          <w:p>
            <w:pPr>
              <w:spacing w:after="0" w:line="240" w:lineRule="auto"/>
              <w:jc w:val="center"/>
            </w:pPr>
            <w:r/>
            <w:r>
              <w:rPr>
                <w:sz w:val="15"/>
              </w:rPr>
              <w:t>0.969 (0.963 ± 0.002)</w:t>
            </w:r>
          </w:p>
        </w:tc>
        <w:tc>
          <w:tcPr>
            <w:tcW w:type="dxa" w:w="1613"/>
          </w:tcPr>
          <w:p>
            <w:pPr>
              <w:spacing w:after="0" w:line="240" w:lineRule="auto"/>
              <w:jc w:val="center"/>
            </w:pPr>
            <w:r/>
            <w:r>
              <w:rPr>
                <w:sz w:val="15"/>
              </w:rPr>
              <w:t>0.426 (0.488 ± 0.017)</w:t>
            </w:r>
          </w:p>
        </w:tc>
        <w:tc>
          <w:tcPr>
            <w:tcW w:type="dxa" w:w="1613"/>
          </w:tcPr>
          <w:p>
            <w:pPr>
              <w:spacing w:after="0" w:line="240" w:lineRule="auto"/>
              <w:jc w:val="center"/>
            </w:pPr>
            <w:r/>
            <w:r>
              <w:rPr>
                <w:sz w:val="15"/>
              </w:rPr>
              <w:t>0.759 (0.822 ± 0.021)</w:t>
            </w:r>
          </w:p>
        </w:tc>
        <w:tc>
          <w:tcPr>
            <w:tcW w:type="dxa" w:w="1613"/>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800"/>
          </w:tcPr>
          <w:p>
            <w:pPr>
              <w:spacing w:after="0" w:line="240" w:lineRule="auto"/>
              <w:jc w:val="center"/>
            </w:pPr>
            <w:r/>
            <w:r>
              <w:rPr>
                <w:sz w:val="15"/>
              </w:rPr>
              <w:t>w/o edge gating *</w:t>
            </w:r>
          </w:p>
        </w:tc>
        <w:tc>
          <w:tcPr>
            <w:tcW w:type="dxa" w:w="1613"/>
          </w:tcPr>
          <w:p>
            <w:pPr>
              <w:spacing w:after="0" w:line="240" w:lineRule="auto"/>
              <w:jc w:val="center"/>
            </w:pPr>
            <w:r/>
            <w:r>
              <w:rPr>
                <w:b/>
                <w:sz w:val="15"/>
              </w:rPr>
              <w:t>0.969 (0.964 ± 0.002)</w:t>
            </w:r>
          </w:p>
        </w:tc>
        <w:tc>
          <w:tcPr>
            <w:tcW w:type="dxa" w:w="1613"/>
          </w:tcPr>
          <w:p>
            <w:pPr>
              <w:spacing w:after="0" w:line="240" w:lineRule="auto"/>
              <w:jc w:val="center"/>
            </w:pPr>
            <w:r/>
            <w:r>
              <w:rPr>
                <w:sz w:val="15"/>
              </w:rPr>
              <w:t>0.428 (0.484 ± 0.017)</w:t>
            </w:r>
          </w:p>
        </w:tc>
        <w:tc>
          <w:tcPr>
            <w:tcW w:type="dxa" w:w="1613"/>
          </w:tcPr>
          <w:p>
            <w:pPr>
              <w:spacing w:after="0" w:line="240" w:lineRule="auto"/>
              <w:jc w:val="center"/>
            </w:pPr>
            <w:r/>
            <w:r>
              <w:rPr>
                <w:b/>
                <w:sz w:val="15"/>
              </w:rPr>
              <w:t>0.754 (0.814 ± 0.027)</w:t>
            </w:r>
          </w:p>
        </w:tc>
        <w:tc>
          <w:tcPr>
            <w:tcW w:type="dxa" w:w="1613"/>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800"/>
          </w:tcPr>
          <w:p>
            <w:pPr>
              <w:spacing w:after="0" w:line="240" w:lineRule="auto"/>
              <w:jc w:val="center"/>
            </w:pPr>
            <w:r/>
            <w:r>
              <w:rPr>
                <w:sz w:val="15"/>
              </w:rPr>
              <w:t>w/o site readout *</w:t>
            </w:r>
          </w:p>
        </w:tc>
        <w:tc>
          <w:tcPr>
            <w:tcW w:type="dxa" w:w="1613"/>
          </w:tcPr>
          <w:p>
            <w:pPr>
              <w:spacing w:after="0" w:line="240" w:lineRule="auto"/>
              <w:jc w:val="center"/>
            </w:pPr>
            <w:r/>
            <w:r>
              <w:rPr>
                <w:sz w:val="15"/>
              </w:rPr>
              <w:t>0.968 (0.963 ± 0.002)</w:t>
            </w:r>
          </w:p>
        </w:tc>
        <w:tc>
          <w:tcPr>
            <w:tcW w:type="dxa" w:w="1613"/>
          </w:tcPr>
          <w:p>
            <w:pPr>
              <w:spacing w:after="0" w:line="240" w:lineRule="auto"/>
              <w:jc w:val="center"/>
            </w:pPr>
            <w:r/>
            <w:r>
              <w:rPr>
                <w:sz w:val="15"/>
              </w:rPr>
              <w:t>0.427 (0.486 ± 0.017)</w:t>
            </w:r>
          </w:p>
        </w:tc>
        <w:tc>
          <w:tcPr>
            <w:tcW w:type="dxa" w:w="1613"/>
          </w:tcPr>
          <w:p>
            <w:pPr>
              <w:spacing w:after="0" w:line="240" w:lineRule="auto"/>
              <w:jc w:val="center"/>
            </w:pPr>
            <w:r/>
            <w:r>
              <w:rPr>
                <w:sz w:val="15"/>
              </w:rPr>
              <w:t>0.771 (0.830 ± 0.025)</w:t>
            </w:r>
          </w:p>
        </w:tc>
        <w:tc>
          <w:tcPr>
            <w:tcW w:type="dxa" w:w="1613"/>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800"/>
          </w:tcPr>
          <w:p>
            <w:pPr>
              <w:spacing w:after="0" w:line="240" w:lineRule="auto"/>
              <w:jc w:val="center"/>
            </w:pPr>
            <w:r/>
            <w:r>
              <w:rPr>
                <w:sz w:val="15"/>
              </w:rPr>
              <w:t>GraphMPNN (final)</w:t>
            </w:r>
          </w:p>
        </w:tc>
        <w:tc>
          <w:tcPr>
            <w:tcW w:type="dxa" w:w="1613"/>
          </w:tcPr>
          <w:p>
            <w:pPr>
              <w:spacing w:after="0" w:line="240" w:lineRule="auto"/>
              <w:jc w:val="center"/>
            </w:pPr>
            <w:r/>
            <w:r>
              <w:rPr>
                <w:sz w:val="15"/>
              </w:rPr>
              <w:t>0.969 (0.963 ± 0.002)</w:t>
            </w:r>
          </w:p>
        </w:tc>
        <w:tc>
          <w:tcPr>
            <w:tcW w:type="dxa" w:w="1613"/>
          </w:tcPr>
          <w:p>
            <w:pPr>
              <w:spacing w:after="0" w:line="240" w:lineRule="auto"/>
              <w:jc w:val="center"/>
            </w:pPr>
            <w:r/>
            <w:r>
              <w:rPr>
                <w:b/>
                <w:sz w:val="15"/>
              </w:rPr>
              <w:t>0.424 (0.484 ± 0.020)</w:t>
            </w:r>
          </w:p>
        </w:tc>
        <w:tc>
          <w:tcPr>
            <w:tcW w:type="dxa" w:w="1613"/>
          </w:tcPr>
          <w:p>
            <w:pPr>
              <w:spacing w:after="0" w:line="240" w:lineRule="auto"/>
              <w:jc w:val="center"/>
            </w:pPr>
            <w:r/>
            <w:r>
              <w:rPr>
                <w:sz w:val="15"/>
              </w:rPr>
              <w:t>0.757 (0.820 ± 0.025)</w:t>
            </w:r>
          </w:p>
        </w:tc>
        <w:tc>
          <w:tcPr>
            <w:tcW w:type="dxa" w:w="1613"/>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800"/>
          </w:tcPr>
          <w:p>
            <w:pPr>
              <w:spacing w:after="0" w:line="240" w:lineRule="auto"/>
              <w:jc w:val="center"/>
            </w:pPr>
            <w:r/>
            <w:r>
              <w:rPr>
                <w:sz w:val="15"/>
              </w:rPr>
              <w:t>w/o xTB features *</w:t>
            </w:r>
          </w:p>
        </w:tc>
        <w:tc>
          <w:tcPr>
            <w:tcW w:type="dxa" w:w="1613"/>
          </w:tcPr>
          <w:p>
            <w:pPr>
              <w:spacing w:after="0" w:line="240" w:lineRule="auto"/>
              <w:jc w:val="center"/>
            </w:pPr>
            <w:r/>
            <w:r>
              <w:rPr>
                <w:sz w:val="15"/>
              </w:rPr>
              <w:t>0.943† (0.931 ± 0.004)</w:t>
            </w:r>
          </w:p>
        </w:tc>
        <w:tc>
          <w:tcPr>
            <w:tcW w:type="dxa" w:w="1613"/>
          </w:tcPr>
          <w:p>
            <w:pPr>
              <w:spacing w:after="0" w:line="240" w:lineRule="auto"/>
              <w:jc w:val="center"/>
            </w:pPr>
            <w:r/>
            <w:r>
              <w:rPr>
                <w:sz w:val="15"/>
              </w:rPr>
              <w:t>0.424 (0.483 ± 0.014)</w:t>
            </w:r>
          </w:p>
        </w:tc>
        <w:tc>
          <w:tcPr>
            <w:tcW w:type="dxa" w:w="1613"/>
          </w:tcPr>
          <w:p>
            <w:pPr>
              <w:spacing w:after="0" w:line="240" w:lineRule="auto"/>
              <w:jc w:val="center"/>
            </w:pPr>
            <w:r/>
            <w:r>
              <w:rPr>
                <w:sz w:val="15"/>
              </w:rPr>
              <w:t>0.703† (0.772 ± 0.024)</w:t>
            </w:r>
          </w:p>
        </w:tc>
        <w:tc>
          <w:tcPr>
            <w:tcW w:type="dxa" w:w="1613"/>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800"/>
          </w:tcPr>
          <w:p>
            <w:pPr>
              <w:spacing w:after="0" w:line="240" w:lineRule="auto"/>
              <w:jc w:val="center"/>
            </w:pPr>
            <w:r/>
            <w:r>
              <w:rPr>
                <w:sz w:val="15"/>
              </w:rPr>
              <w:t>w/o edge gating *</w:t>
            </w:r>
          </w:p>
        </w:tc>
        <w:tc>
          <w:tcPr>
            <w:tcW w:type="dxa" w:w="1613"/>
          </w:tcPr>
          <w:p>
            <w:pPr>
              <w:spacing w:after="0" w:line="240" w:lineRule="auto"/>
              <w:jc w:val="center"/>
            </w:pPr>
            <w:r/>
            <w:r>
              <w:rPr>
                <w:sz w:val="15"/>
              </w:rPr>
              <w:t>0.946 (0.935 ± 0.004)</w:t>
            </w:r>
          </w:p>
        </w:tc>
        <w:tc>
          <w:tcPr>
            <w:tcW w:type="dxa" w:w="1613"/>
          </w:tcPr>
          <w:p>
            <w:pPr>
              <w:spacing w:after="0" w:line="240" w:lineRule="auto"/>
              <w:jc w:val="center"/>
            </w:pPr>
            <w:r/>
            <w:r>
              <w:rPr>
                <w:sz w:val="15"/>
              </w:rPr>
              <w:t>0.415 (0.469 ± 0.015)</w:t>
            </w:r>
          </w:p>
        </w:tc>
        <w:tc>
          <w:tcPr>
            <w:tcW w:type="dxa" w:w="1613"/>
          </w:tcPr>
          <w:p>
            <w:pPr>
              <w:spacing w:after="0" w:line="240" w:lineRule="auto"/>
              <w:jc w:val="center"/>
            </w:pPr>
            <w:r/>
            <w:r>
              <w:rPr>
                <w:sz w:val="15"/>
              </w:rPr>
              <w:t>0.680 (0.747 ± 0.023)</w:t>
            </w:r>
          </w:p>
        </w:tc>
        <w:tc>
          <w:tcPr>
            <w:tcW w:type="dxa" w:w="1613"/>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800"/>
          </w:tcPr>
          <w:p>
            <w:pPr>
              <w:spacing w:after="0" w:line="240" w:lineRule="auto"/>
              <w:jc w:val="center"/>
            </w:pPr>
            <w:r/>
            <w:r>
              <w:rPr>
                <w:sz w:val="15"/>
              </w:rPr>
              <w:t>w/o site readout *</w:t>
            </w:r>
          </w:p>
        </w:tc>
        <w:tc>
          <w:tcPr>
            <w:tcW w:type="dxa" w:w="1613"/>
          </w:tcPr>
          <w:p>
            <w:pPr>
              <w:spacing w:after="0" w:line="240" w:lineRule="auto"/>
              <w:jc w:val="center"/>
            </w:pPr>
            <w:r/>
            <w:r>
              <w:rPr>
                <w:b/>
                <w:sz w:val="15"/>
              </w:rPr>
              <w:t>0.950 (0.940 ± 0.002)</w:t>
            </w:r>
          </w:p>
        </w:tc>
        <w:tc>
          <w:tcPr>
            <w:tcW w:type="dxa" w:w="1613"/>
          </w:tcPr>
          <w:p>
            <w:pPr>
              <w:spacing w:after="0" w:line="240" w:lineRule="auto"/>
              <w:jc w:val="center"/>
            </w:pPr>
            <w:r/>
            <w:r>
              <w:rPr>
                <w:b/>
                <w:sz w:val="15"/>
              </w:rPr>
              <w:t>0.406 (0.461 ± 0.016)</w:t>
            </w:r>
          </w:p>
        </w:tc>
        <w:tc>
          <w:tcPr>
            <w:tcW w:type="dxa" w:w="1613"/>
          </w:tcPr>
          <w:p>
            <w:pPr>
              <w:spacing w:after="0" w:line="240" w:lineRule="auto"/>
              <w:jc w:val="center"/>
            </w:pPr>
            <w:r/>
            <w:r>
              <w:rPr>
                <w:b/>
                <w:sz w:val="15"/>
              </w:rPr>
              <w:t>0.654 (0.720 ± 0.013)</w:t>
            </w:r>
          </w:p>
        </w:tc>
        <w:tc>
          <w:tcPr>
            <w:tcW w:type="dxa" w:w="1613"/>
          </w:tcPr>
          <w:p>
            <w:pPr>
              <w:spacing w:after="0" w:line="240" w:lineRule="auto"/>
              <w:jc w:val="center"/>
            </w:pPr>
            <w:r/>
            <w:r>
              <w:rPr>
                <w:b/>
                <w:sz w:val="15"/>
              </w:rPr>
              <w:t>0.907 (0.889 ± 0.013)</w:t>
            </w:r>
          </w:p>
        </w:tc>
      </w:tr>
      <w:tr>
        <w:tc>
          <w:tcPr>
            <w:tcW w:type="dxa" w:w="1224"/>
            <w:tcBorders>
              <w:bottom w:val="single" w:sz="6" w:space="0" w:color="000000"/>
            </w:tcBorders>
          </w:tcPr>
          <w:p>
            <w:pPr>
              <w:spacing w:after="0" w:line="240" w:lineRule="auto"/>
              <w:jc w:val="left"/>
            </w:pPr>
            <w:r/>
            <w:r>
              <w:rPr>
                <w:sz w:val="15"/>
              </w:rPr>
            </w:r>
          </w:p>
        </w:tc>
        <w:tc>
          <w:tcPr>
            <w:tcW w:type="dxa" w:w="1800"/>
            <w:tcBorders>
              <w:bottom w:val="single" w:sz="6" w:space="0" w:color="000000"/>
            </w:tcBorders>
          </w:tcPr>
          <w:p>
            <w:pPr>
              <w:spacing w:after="0" w:line="240" w:lineRule="auto"/>
              <w:jc w:val="center"/>
            </w:pPr>
            <w:r/>
            <w:r>
              <w:rPr>
                <w:sz w:val="15"/>
              </w:rPr>
              <w:t>GraphMPNN (final)</w:t>
            </w:r>
          </w:p>
        </w:tc>
        <w:tc>
          <w:tcPr>
            <w:tcW w:type="dxa" w:w="1613"/>
            <w:tcBorders>
              <w:bottom w:val="single" w:sz="6" w:space="0" w:color="000000"/>
            </w:tcBorders>
          </w:tcPr>
          <w:p>
            <w:pPr>
              <w:spacing w:after="0" w:line="240" w:lineRule="auto"/>
              <w:jc w:val="center"/>
            </w:pPr>
            <w:r/>
            <w:r>
              <w:rPr>
                <w:sz w:val="15"/>
              </w:rPr>
              <w:t>0.948 (0.937 ± 0.003)</w:t>
            </w:r>
          </w:p>
        </w:tc>
        <w:tc>
          <w:tcPr>
            <w:tcW w:type="dxa" w:w="1613"/>
            <w:tcBorders>
              <w:bottom w:val="single" w:sz="6" w:space="0" w:color="000000"/>
            </w:tcBorders>
          </w:tcPr>
          <w:p>
            <w:pPr>
              <w:spacing w:after="0" w:line="240" w:lineRule="auto"/>
              <w:jc w:val="center"/>
            </w:pPr>
            <w:r/>
            <w:r>
              <w:rPr>
                <w:sz w:val="15"/>
              </w:rPr>
              <w:t>0.416 (0.472 ± 0.010)</w:t>
            </w:r>
          </w:p>
        </w:tc>
        <w:tc>
          <w:tcPr>
            <w:tcW w:type="dxa" w:w="1613"/>
            <w:tcBorders>
              <w:bottom w:val="single" w:sz="6" w:space="0" w:color="000000"/>
            </w:tcBorders>
          </w:tcPr>
          <w:p>
            <w:pPr>
              <w:spacing w:after="0" w:line="240" w:lineRule="auto"/>
              <w:jc w:val="center"/>
            </w:pPr>
            <w:r/>
            <w:r>
              <w:rPr>
                <w:sz w:val="15"/>
              </w:rPr>
              <w:t>0.670 (0.736 ± 0.016)</w:t>
            </w:r>
          </w:p>
        </w:tc>
        <w:tc>
          <w:tcPr>
            <w:tcW w:type="dxa" w:w="1613"/>
            <w:tcBorders>
              <w:bottom w:val="single" w:sz="6" w:space="0" w:color="000000"/>
            </w:tcBorders>
          </w:tcPr>
          <w:p>
            <w:pPr>
              <w:spacing w:after="0" w:line="240" w:lineRule="auto"/>
              <w:jc w:val="center"/>
            </w:pPr>
            <w:r/>
            <w:r>
              <w:rPr>
                <w:sz w:val="15"/>
              </w:rPr>
              <w:t>0.899 (0.885 ± 0.009)</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 reconstructed variant that did not reproduce the stored single-seed result (see text). Final-model rows are those of Table I.</w:t>
      </w:r>
    </w:p>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