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p>
      <w:pPr>
        <w:jc w:val="center"/>
      </w:pPr>
      <w:r>
        <w:drawing>
          <wp:inline xmlns:a="http://schemas.openxmlformats.org/drawingml/2006/main" xmlns:pic="http://schemas.openxmlformats.org/drawingml/2006/picture">
            <wp:extent cx="5943600" cy="2669915"/>
            <wp:docPr id="3" name="Picture 3"/>
            <wp:cNvGraphicFramePr>
              <a:graphicFrameLocks noChangeAspect="1"/>
            </wp:cNvGraphicFramePr>
            <a:graphic>
              <a:graphicData uri="http://schemas.openxmlformats.org/drawingml/2006/picture">
                <pic:pic>
                  <pic:nvPicPr>
                    <pic:cNvPr id="0" name="GMPNN.png"/>
                    <pic:cNvPicPr/>
                  </pic:nvPicPr>
                  <pic:blipFill>
                    <a:blip r:embed="rId11"/>
                    <a:stretch>
                      <a:fillRect/>
                    </a:stretch>
                  </pic:blipFill>
                  <pic:spPr>
                    <a:xfrm>
                      <a:off x="0" y="0"/>
                      <a:ext cx="5943600" cy="2669915"/>
                    </a:xfrm>
                    <a:prstGeom prst="rect"/>
                  </pic:spPr>
                </pic:pic>
              </a:graphicData>
            </a:graphic>
          </wp:inline>
        </w:drawing>
      </w:r>
    </w:p>
    <w:p>
      <w:pPr>
        <w:jc w:val="both"/>
      </w:pPr>
      <w:r>
        <w:rPr>
          <w:sz w:val="16"/>
        </w:rPr>
        <w:t xml:space="preserve">Fig. 3. </w:t>
      </w:r>
      <w:r>
        <w:rPr>
          <w:sz w:val="16"/>
        </w:rPr>
        <w:t>The GraphMPNN architecture used for the two pKa endpoints. A canonical SMILES string is featurized with RDKit and semi-empirical quantum chemistry into a molecular graph with 36-dimensional atom and 8-dimensional bond features; the ionizable site located by the acidic or basic SMARTS matcher is marked as an additional node feature. Atom and bond features are projected to 128 dimensions and refined by four edge-gated message-passing layers, in each of which a gate computed from the bond features alone modulates each neighbour's transformed state (2), the gated messages are summed over bonded neighbours (3), and the result updates the atom state through a gated recurrent cell applied residually (4). The final atom states are combined into a 384-dimensional graph readout by concatenating the site-atom embedding with masked mean and maximum pools and applying layer normalization (5); a two-layer head then predicts the standardized pKa, which is returned to pKa units using the training-split statistics. One model is trained per endpoint; for the basic endpoint the site term of the readout is omitted, giving a 256-dimensional readout.</w:t>
      </w:r>
    </w:p>
    <w:p>
      <w:pPr>
        <w:jc w:val="center"/>
      </w:pPr>
      <w:r>
        <w:drawing>
          <wp:inline xmlns:a="http://schemas.openxmlformats.org/drawingml/2006/main" xmlns:pic="http://schemas.openxmlformats.org/drawingml/2006/picture">
            <wp:extent cx="5943600" cy="5924489"/>
            <wp:docPr id="4" name="Picture 4"/>
            <wp:cNvGraphicFramePr>
              <a:graphicFrameLocks noChangeAspect="1"/>
            </wp:cNvGraphicFramePr>
            <a:graphic>
              <a:graphicData uri="http://schemas.openxmlformats.org/drawingml/2006/picture">
                <pic:pic>
                  <pic:nvPicPr>
                    <pic:cNvPr id="0" name="MFMN_Architecture.drawio.png"/>
                    <pic:cNvPicPr/>
                  </pic:nvPicPr>
                  <pic:blipFill>
                    <a:blip r:embed="rId12"/>
                    <a:stretch>
                      <a:fillRect/>
                    </a:stretch>
                  </pic:blipFill>
                  <pic:spPr>
                    <a:xfrm>
                      <a:off x="0" y="0"/>
                      <a:ext cx="5943600" cy="5924489"/>
                    </a:xfrm>
                    <a:prstGeom prst="rect"/>
                  </pic:spPr>
                </pic:pic>
              </a:graphicData>
            </a:graphic>
          </wp:inline>
        </w:drawing>
      </w:r>
    </w:p>
    <w:p>
      <w:pPr>
        <w:jc w:val="both"/>
      </w:pPr>
      <w:r>
        <w:rPr>
          <w:sz w:val="16"/>
        </w:rPr>
        <w:t xml:space="preserve">Fig. 4. </w:t>
      </w:r>
      <w:r>
        <w:rPr>
          <w:sz w:val="16"/>
        </w:rPr>
        <w:t>The MFMN architecture used for CL, VDss and Fu. Top: each molecule yields a shared context vector — 199 dimensions for CL and VDss, 1,419 for Fu — together with seven raw descriptor blocks named for the mechanism each represents. Middle: every factor is embedded into eight dimensions from the context concatenated with its own block (6); in the dynamically gated variant a second branch of the same input produces a per-compound sigmoid gate that multiplies the value branch elementwise (7), while the ungated variant used for VDss omits it. The seven embeddings concatenate to a 56-dimensional latent. Auxiliary heads, active during training for CL and VDss only, predict one measured property per factor (9). Bottom: per target, each factor embedding is projected to a rank-8 vector whose pairwise products are summed by the factorization identity (8), and the resulting interaction term is concatenated with the factor latent to give 64 dimensions, from which a two-layer pathway predicts the standardized target. The table gives the configuration of each endpoint; parameter counts are those of Table III.</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5" name="Picture 5"/>
            <wp:cNvGraphicFramePr>
              <a:graphicFrameLocks noChangeAspect="1"/>
            </wp:cNvGraphicFramePr>
            <a:graphic>
              <a:graphicData uri="http://schemas.openxmlformats.org/drawingml/2006/picture">
                <pic:pic>
                  <pic:nvPicPr>
                    <pic:cNvPr id="0" name="fig1_parity.png"/>
                    <pic:cNvPicPr/>
                  </pic:nvPicPr>
                  <pic:blipFill>
                    <a:blip r:embed="rId13"/>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6" name="Picture 6"/>
            <wp:cNvGraphicFramePr>
              <a:graphicFrameLocks noChangeAspect="1"/>
            </wp:cNvGraphicFramePr>
            <a:graphic>
              <a:graphicData uri="http://schemas.openxmlformats.org/drawingml/2006/picture">
                <pic:pic>
                  <pic:nvPicPr>
                    <pic:cNvPr id="0" name="fig2_vs_paper.png"/>
                    <pic:cNvPicPr/>
                  </pic:nvPicPr>
                  <pic:blipFill>
                    <a:blip r:embed="rId14"/>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7" name="Picture 7"/>
            <wp:cNvGraphicFramePr>
              <a:graphicFrameLocks noChangeAspect="1"/>
            </wp:cNvGraphicFramePr>
            <a:graphic>
              <a:graphicData uri="http://schemas.openxmlformats.org/drawingml/2006/picture">
                <pic:pic>
                  <pic:nvPicPr>
                    <pic:cNvPr id="0" name="fig3_paired_vs_jia.png"/>
                    <pic:cNvPicPr/>
                  </pic:nvPicPr>
                  <pic:blipFill>
                    <a:blip r:embed="rId15"/>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8" name="Picture 8"/>
            <wp:cNvGraphicFramePr>
              <a:graphicFrameLocks noChangeAspect="1"/>
            </wp:cNvGraphicFramePr>
            <a:graphic>
              <a:graphicData uri="http://schemas.openxmlformats.org/drawingml/2006/picture">
                <pic:pic>
                  <pic:nvPicPr>
                    <pic:cNvPr id="0" name="fig4_baselines.png"/>
                    <pic:cNvPicPr/>
                  </pic:nvPicPr>
                  <pic:blipFill>
                    <a:blip r:embed="rId16"/>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9" name="Picture 9"/>
            <wp:cNvGraphicFramePr>
              <a:graphicFrameLocks noChangeAspect="1"/>
            </wp:cNvGraphicFramePr>
            <a:graphic>
              <a:graphicData uri="http://schemas.openxmlformats.org/drawingml/2006/picture">
                <pic:pic>
                  <pic:nvPicPr>
                    <pic:cNvPr id="0" name="fig5_ablation.png"/>
                    <pic:cNvPicPr/>
                  </pic:nvPicPr>
                  <pic:blipFill>
                    <a:blip r:embed="rId17"/>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10" name="Picture 10"/>
            <wp:cNvGraphicFramePr>
              <a:graphicFrameLocks noChangeAspect="1"/>
            </wp:cNvGraphicFramePr>
            <a:graphic>
              <a:graphicData uri="http://schemas.openxmlformats.org/drawingml/2006/picture">
                <pic:pic>
                  <pic:nvPicPr>
                    <pic:cNvPr id="0" name="fig6_downstream.png"/>
                    <pic:cNvPicPr/>
                  </pic:nvPicPr>
                  <pic:blipFill>
                    <a:blip r:embed="rId18"/>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