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 Results</w:t>
      </w:r>
    </w:p>
    <w:p>
      <w:pPr>
        <w:jc w:val="both"/>
      </w:pPr>
      <w:r>
        <w:rPr>
          <w:b/>
          <w:i w:val="0"/>
          <w:color w:val="C00000"/>
          <w:sz w:val="16"/>
        </w:rPr>
        <w:t>[Draft – Results section only. Section number, reference numbers and cross-references to the Methods/Experiments sections are placeholders to be aligned with the full manuscript.]</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 and II report the 10-seed ensemble performance of the proposed models, and Fig. 1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II</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w:t>
      </w:r>
    </w:p>
    <w:p>
      <w:pPr>
        <w:spacing w:after="40"/>
      </w:pPr>
    </w:p>
    <w:p>
      <w:pPr>
        <w:jc w:val="center"/>
      </w:pPr>
      <w:r>
        <w:drawing>
          <wp:inline xmlns:a="http://schemas.openxmlformats.org/drawingml/2006/main" xmlns:pic="http://schemas.openxmlformats.org/drawingml/2006/picture">
            <wp:extent cx="5943600" cy="1493891"/>
            <wp:docPr id="1" name="Picture 1"/>
            <wp:cNvGraphicFramePr>
              <a:graphicFrameLocks noChangeAspect="1"/>
            </wp:cNvGraphicFramePr>
            <a:graphic>
              <a:graphicData uri="http://schemas.openxmlformats.org/drawingml/2006/picture">
                <pic:pic>
                  <pic:nvPicPr>
                    <pic:cNvPr id="0" name="fig1_parity.png"/>
                    <pic:cNvPicPr/>
                  </pic:nvPicPr>
                  <pic:blipFill>
                    <a:blip r:embed="rId9"/>
                    <a:stretch>
                      <a:fillRect/>
                    </a:stretch>
                  </pic:blipFill>
                  <pic:spPr>
                    <a:xfrm>
                      <a:off x="0" y="0"/>
                      <a:ext cx="5943600" cy="1493891"/>
                    </a:xfrm>
                    <a:prstGeom prst="rect"/>
                  </pic:spPr>
                </pic:pic>
              </a:graphicData>
            </a:graphic>
          </wp:inline>
        </w:drawing>
      </w:r>
    </w:p>
    <w:p>
      <w:pPr>
        <w:jc w:val="both"/>
      </w:pPr>
      <w:r>
        <w:rPr>
          <w:sz w:val="16"/>
        </w:rPr>
        <w:t xml:space="preserve">Fig. 1. </w:t>
      </w:r>
      <w:r>
        <w:rPr>
          <w:sz w:val="16"/>
        </w:rPr>
        <w:t>Predicted versus observed values on the official test sets for the proposed models (10-seed ensemble). The solid line is the identity; the shaded band marks ±1 pKa unit (pKa) or two-fold error (CL, VDss, Fu). Inset metrics are ensemble values from Tables I and II.</w:t>
      </w:r>
    </w:p>
    <w:p>
      <w:pPr>
        <w:pStyle w:val="Heading2"/>
      </w:pPr>
      <w:r>
        <w:t>B. Comparison With the Published Benchmark</w:t>
      </w:r>
    </w:p>
    <w:p>
      <w:pPr>
        <w:jc w:val="both"/>
      </w:pPr>
      <w:r>
        <w:rPr>
          <w:b w:val="0"/>
          <w:i w:val="0"/>
        </w:rPr>
        <w:t xml:space="preserve">Table III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The benchmark reports point estimates only, so a paired test against it is not possible; instead, we report whether the published value lies inside the bootstrap 95% CI of the ensemble metric. Fig. 2 shows the relative differences.</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III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2" name="Picture 2"/>
            <wp:cNvGraphicFramePr>
              <a:graphicFrameLocks noChangeAspect="1"/>
            </wp:cNvGraphicFramePr>
            <a:graphic>
              <a:graphicData uri="http://schemas.openxmlformats.org/drawingml/2006/picture">
                <pic:pic>
                  <pic:nvPicPr>
                    <pic:cNvPr id="0" name="fig2_vs_paper.png"/>
                    <pic:cNvPicPr/>
                  </pic:nvPicPr>
                  <pic:blipFill>
                    <a:blip r:embed="rId10"/>
                    <a:stretch>
                      <a:fillRect/>
                    </a:stretch>
                  </pic:blipFill>
                  <pic:spPr>
                    <a:xfrm>
                      <a:off x="0" y="0"/>
                      <a:ext cx="3108960" cy="3201765"/>
                    </a:xfrm>
                    <a:prstGeom prst="rect"/>
                  </pic:spPr>
                </pic:pic>
              </a:graphicData>
            </a:graphic>
          </wp:inline>
        </w:drawing>
      </w:r>
    </w:p>
    <w:p>
      <w:pPr>
        <w:jc w:val="both"/>
      </w:pPr>
      <w:r>
        <w:rPr>
          <w:sz w:val="16"/>
        </w:rPr>
        <w:t xml:space="preserve">Fig. 2.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Comparison With Untuned Classical Baselines</w:t>
      </w:r>
    </w:p>
    <w:p>
      <w:pPr>
        <w:jc w:val="both"/>
      </w:pPr>
      <w:r>
        <w:rPr>
          <w:b w:val="0"/>
          <w:i w:val="0"/>
        </w:rPr>
        <w:t>Table IV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3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IV</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3" name="Picture 3"/>
            <wp:cNvGraphicFramePr>
              <a:graphicFrameLocks noChangeAspect="1"/>
            </wp:cNvGraphicFramePr>
            <a:graphic>
              <a:graphicData uri="http://schemas.openxmlformats.org/drawingml/2006/picture">
                <pic:pic>
                  <pic:nvPicPr>
                    <pic:cNvPr id="0" name="fig3_baselines.png"/>
                    <pic:cNvPicPr/>
                  </pic:nvPicPr>
                  <pic:blipFill>
                    <a:blip r:embed="rId11"/>
                    <a:stretch>
                      <a:fillRect/>
                    </a:stretch>
                  </pic:blipFill>
                  <pic:spPr>
                    <a:xfrm>
                      <a:off x="0" y="0"/>
                      <a:ext cx="5943600" cy="1711802"/>
                    </a:xfrm>
                    <a:prstGeom prst="rect"/>
                  </pic:spPr>
                </pic:pic>
              </a:graphicData>
            </a:graphic>
          </wp:inline>
        </w:drawing>
      </w:r>
    </w:p>
    <w:p>
      <w:pPr>
        <w:jc w:val="both"/>
      </w:pPr>
      <w:r>
        <w:rPr>
          <w:sz w:val="16"/>
        </w:rPr>
        <w:t xml:space="preserve">Fig. 3.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D. Ablation Study</w:t>
      </w:r>
    </w:p>
    <w:p>
      <w:pPr>
        <w:jc w:val="both"/>
      </w:pPr>
      <w:r>
        <w:rPr>
          <w:b w:val="0"/>
          <w:i w:val="0"/>
        </w:rPr>
        <w:t>Tables V and VI report 10-seed ablations retrained under the same protocol, training split and test split as the final models. For CL and VDss (Table V), the final model is compared with the base MFMN (no auxiliary supervision and no dynamic gating) and with the alternative MFMN variant that differs only in the gating mechanism (MFMN-InteractAux for CL; MFMN-DynGate for VDss); Fig. 4 shows the per-seed GMFE distributions. For pKa (Table VI),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C.</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V</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II;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4" name="Picture 4"/>
            <wp:cNvGraphicFramePr>
              <a:graphicFrameLocks noChangeAspect="1"/>
            </wp:cNvGraphicFramePr>
            <a:graphic>
              <a:graphicData uri="http://schemas.openxmlformats.org/drawingml/2006/picture">
                <pic:pic>
                  <pic:nvPicPr>
                    <pic:cNvPr id="0" name="fig4_ablation.png"/>
                    <pic:cNvPicPr/>
                  </pic:nvPicPr>
                  <pic:blipFill>
                    <a:blip r:embed="rId12"/>
                    <a:stretch>
                      <a:fillRect/>
                    </a:stretch>
                  </pic:blipFill>
                  <pic:spPr>
                    <a:xfrm>
                      <a:off x="0" y="0"/>
                      <a:ext cx="3108960" cy="1866579"/>
                    </a:xfrm>
                    <a:prstGeom prst="rect"/>
                  </pic:spPr>
                </pic:pic>
              </a:graphicData>
            </a:graphic>
          </wp:inline>
        </w:drawing>
      </w:r>
    </w:p>
    <w:p>
      <w:pPr>
        <w:jc w:val="both"/>
      </w:pPr>
      <w:r>
        <w:rPr>
          <w:sz w:val="16"/>
        </w:rPr>
        <w:t xml:space="preserve">Fig. 4.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VI</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w:t>
      </w:r>
    </w:p>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