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with dedicated efforts for clearance [3] and for the unbound fraction [4]. Recent work has moved from predicting isolated parameters towards predicting the full concentration–time profile, either by learning it directly [5], [6] or by feeding predicted physicochemical parameters into a mechanistic or physiologically based model [7]-[9]. Both strategies rest on the same foundation: the quality of the structure-derived parameter predictions that enter them [10], [11]. The same parameters feed exposure assessment for environmental chemicals [12] and the quantitative prediction of drug-drug interactions [13], so errors in them propagate widely.</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[14], [15], and have been applied to absorption, distribution, metabolism, excretion and toxicity endpoints with multi-task and auxiliary-task formulations [16]. Augmenting such models with quantum-chemical information has been shown to improve property prediction further [17], and semi-empirical methods make that information affordable at screening scale [18]. For acid dissociation constants in particular — a property that governs ionization state and therefore permeability, binding and clearance — graph-based and transfer-learning approaches have become the methods of choice [19], [20]. Self-supervised pretraining on large unlabeled collections [21] and geometry-aware transformer encoders [22] have pushed accuracy further still, and self-interpretable graph architectures are beginning to make such predictions auditable rather than opaque [23].</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[24], and work on uncertainty quantification for molecular property models has argued that an estimate is of limited use without a statement of its reliability [25]. Together these make it difficult to reproduce and to trust incremental improvements, a concern that extends across cheminformatics more broadly [26].</w:t>
      </w:r>
    </w:p>
    <w:p>
      <w:pPr>
        <w:jc w:val="both"/>
      </w:pPr>
      <w:r>
        <w:rPr>
          <w:b w:val="0"/>
          <w:i w:val="0"/>
        </w:rPr>
        <w:t>This work addresses the parameter-prediction stage of the intravenous pharmacokinetics benchmark of Jia et al. [27],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[27], which aggregates human intravenous pharmacokinetic parameters and experimental pKa values from public compilations and chemical databases [28], [29]. Retaining the published partition unchanged is what makes the comparison in Section IV meaningful: no compound in any test split was seen during training by either the benchmark models or ours. Reference values of this kind are aggregated from heterogeneous sources and the curation decisions behind them measurably affect the models trained on them [30]; the unbound fraction and intrinsic clearance in particular are assay-dependent quantities whose reported values carry appreciable experimental spread [31].</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34"/>
            <w:tcBorders>
              <w:top w:val="single" w:sz="6" w:space="0" w:color="000000"/>
              <w:bottom w:val="single" w:sz="6" w:space="0" w:color="000000"/>
            </w:tcBorders>
          </w:tcPr>
          <w:p>
            <w:pPr>
              <w:spacing w:after="0" w:line="240" w:lineRule="auto"/>
              <w:jc w:val="left"/>
            </w:pPr>
            <w:r/>
            <w:r>
              <w:rPr>
                <w:b/>
                <w:sz w:val="15"/>
              </w:rPr>
              <w:t>Endpoint</w:t>
            </w:r>
          </w:p>
        </w:tc>
        <w:tc>
          <w:tcPr>
            <w:tcW w:type="dxa" w:w="1151"/>
            <w:tcBorders>
              <w:top w:val="single" w:sz="6" w:space="0" w:color="000000"/>
              <w:bottom w:val="single" w:sz="6" w:space="0" w:color="000000"/>
            </w:tcBorders>
          </w:tcPr>
          <w:p>
            <w:pPr>
              <w:spacing w:after="0" w:line="240" w:lineRule="auto"/>
              <w:jc w:val="center"/>
            </w:pPr>
            <w:r/>
            <w:r>
              <w:rPr>
                <w:b/>
                <w:sz w:val="15"/>
              </w:rPr>
              <w:t>Train</w:t>
            </w:r>
          </w:p>
        </w:tc>
        <w:tc>
          <w:tcPr>
            <w:tcW w:type="dxa" w:w="921"/>
            <w:tcBorders>
              <w:top w:val="single" w:sz="6" w:space="0" w:color="000000"/>
              <w:bottom w:val="single" w:sz="6" w:space="0" w:color="000000"/>
            </w:tcBorders>
          </w:tcPr>
          <w:p>
            <w:pPr>
              <w:spacing w:after="0" w:line="240" w:lineRule="auto"/>
              <w:jc w:val="center"/>
            </w:pPr>
            <w:r/>
            <w:r>
              <w:rPr>
                <w:b/>
                <w:sz w:val="15"/>
              </w:rPr>
              <w:t>Test</w:t>
            </w:r>
          </w:p>
        </w:tc>
        <w:tc>
          <w:tcPr>
            <w:tcW w:type="dxa" w:w="1304"/>
            <w:tcBorders>
              <w:top w:val="single" w:sz="6" w:space="0" w:color="000000"/>
              <w:bottom w:val="single" w:sz="6" w:space="0" w:color="000000"/>
            </w:tcBorders>
          </w:tcPr>
          <w:p>
            <w:pPr>
              <w:spacing w:after="0" w:line="240" w:lineRule="auto"/>
              <w:jc w:val="center"/>
            </w:pPr>
            <w:r/>
            <w:r>
              <w:rPr>
                <w:b/>
                <w:sz w:val="15"/>
              </w:rPr>
              <w:t>Unit</w:t>
            </w:r>
          </w:p>
        </w:tc>
        <w:tc>
          <w:tcPr>
            <w:tcW w:type="dxa" w:w="1228"/>
            <w:tcBorders>
              <w:top w:val="single" w:sz="6" w:space="0" w:color="000000"/>
              <w:bottom w:val="single" w:sz="6" w:space="0" w:color="000000"/>
            </w:tcBorders>
          </w:tcPr>
          <w:p>
            <w:pPr>
              <w:spacing w:after="0" w:line="240" w:lineRule="auto"/>
              <w:jc w:val="center"/>
            </w:pPr>
            <w:r/>
            <w:r>
              <w:rPr>
                <w:b/>
                <w:sz w:val="15"/>
              </w:rPr>
              <w:t>Transform</w:t>
            </w:r>
          </w:p>
        </w:tc>
        <w:tc>
          <w:tcPr>
            <w:tcW w:type="dxa" w:w="2071"/>
            <w:tcBorders>
              <w:top w:val="single" w:sz="6" w:space="0" w:color="000000"/>
              <w:bottom w:val="single" w:sz="6" w:space="0" w:color="000000"/>
            </w:tcBorders>
          </w:tcPr>
          <w:p>
            <w:pPr>
              <w:spacing w:after="0" w:line="240" w:lineRule="auto"/>
              <w:jc w:val="center"/>
            </w:pPr>
            <w:r/>
            <w:r>
              <w:rPr>
                <w:b/>
                <w:sz w:val="15"/>
              </w:rPr>
              <w:t>Range (linear)</w:t>
            </w:r>
          </w:p>
        </w:tc>
        <w:tc>
          <w:tcPr>
            <w:tcW w:type="dxa" w:w="1151"/>
            <w:tcBorders>
              <w:top w:val="single" w:sz="6" w:space="0" w:color="000000"/>
              <w:bottom w:val="single" w:sz="6" w:space="0" w:color="000000"/>
            </w:tcBorders>
          </w:tcPr>
          <w:p>
            <w:pPr>
              <w:spacing w:after="0" w:line="240" w:lineRule="auto"/>
              <w:jc w:val="center"/>
            </w:pPr>
            <w:r/>
            <w:r>
              <w:rPr>
                <w:b/>
                <w:sz w:val="15"/>
              </w:rPr>
              <w:t>Median</w:t>
            </w:r>
          </w:p>
        </w:tc>
      </w:tr>
      <w:tr>
        <w:tc>
          <w:tcPr>
            <w:tcW w:type="dxa" w:w="1534"/>
          </w:tcPr>
          <w:p>
            <w:pPr>
              <w:spacing w:after="0" w:line="240" w:lineRule="auto"/>
              <w:jc w:val="left"/>
            </w:pPr>
            <w:r/>
            <w:r>
              <w:rPr>
                <w:sz w:val="15"/>
              </w:rPr>
              <w:t>pKa (acidic)</w:t>
            </w:r>
          </w:p>
        </w:tc>
        <w:tc>
          <w:tcPr>
            <w:tcW w:type="dxa" w:w="1151"/>
          </w:tcPr>
          <w:p>
            <w:pPr>
              <w:spacing w:after="0" w:line="240" w:lineRule="auto"/>
              <w:jc w:val="center"/>
            </w:pPr>
            <w:r/>
            <w:r>
              <w:rPr>
                <w:sz w:val="15"/>
              </w:rPr>
              <w:t>5,296</w:t>
            </w:r>
          </w:p>
        </w:tc>
        <w:tc>
          <w:tcPr>
            <w:tcW w:type="dxa" w:w="921"/>
          </w:tcPr>
          <w:p>
            <w:pPr>
              <w:spacing w:after="0" w:line="240" w:lineRule="auto"/>
              <w:jc w:val="center"/>
            </w:pPr>
            <w:r/>
            <w:r>
              <w:rPr>
                <w:sz w:val="15"/>
              </w:rPr>
              <w:t>776</w:t>
            </w:r>
          </w:p>
        </w:tc>
        <w:tc>
          <w:tcPr>
            <w:tcW w:type="dxa" w:w="1304"/>
          </w:tcPr>
          <w:p>
            <w:pPr>
              <w:spacing w:after="0" w:line="240" w:lineRule="auto"/>
              <w:jc w:val="center"/>
            </w:pPr>
            <w:r/>
            <w:r>
              <w:rPr>
                <w:sz w:val="15"/>
              </w:rPr>
              <w:t>pKa units</w:t>
            </w:r>
          </w:p>
        </w:tc>
        <w:tc>
          <w:tcPr>
            <w:tcW w:type="dxa" w:w="1228"/>
          </w:tcPr>
          <w:p>
            <w:pPr>
              <w:spacing w:after="0" w:line="240" w:lineRule="auto"/>
              <w:jc w:val="center"/>
            </w:pPr>
            <w:r/>
            <w:r>
              <w:rPr>
                <w:sz w:val="15"/>
              </w:rPr>
              <w:t>none</w:t>
            </w:r>
          </w:p>
        </w:tc>
        <w:tc>
          <w:tcPr>
            <w:tcW w:type="dxa" w:w="2071"/>
          </w:tcPr>
          <w:p>
            <w:pPr>
              <w:spacing w:after="0" w:line="240" w:lineRule="auto"/>
              <w:jc w:val="center"/>
            </w:pPr>
            <w:r/>
            <w:r>
              <w:rPr>
                <w:sz w:val="15"/>
              </w:rPr>
              <w:t>−4.37 to 14.00</w:t>
            </w:r>
          </w:p>
        </w:tc>
        <w:tc>
          <w:tcPr>
            <w:tcW w:type="dxa" w:w="1151"/>
          </w:tcPr>
          <w:p>
            <w:pPr>
              <w:spacing w:after="0" w:line="240" w:lineRule="auto"/>
              <w:jc w:val="center"/>
            </w:pPr>
            <w:r/>
            <w:r>
              <w:rPr>
                <w:sz w:val="15"/>
              </w:rPr>
              <w:t>8.71</w:t>
            </w:r>
          </w:p>
        </w:tc>
      </w:tr>
      <w:tr>
        <w:tc>
          <w:tcPr>
            <w:tcW w:type="dxa" w:w="1534"/>
          </w:tcPr>
          <w:p>
            <w:pPr>
              <w:spacing w:after="0" w:line="240" w:lineRule="auto"/>
              <w:jc w:val="left"/>
            </w:pPr>
            <w:r/>
            <w:r>
              <w:rPr>
                <w:sz w:val="15"/>
              </w:rPr>
              <w:t>pKa (basic)</w:t>
            </w:r>
          </w:p>
        </w:tc>
        <w:tc>
          <w:tcPr>
            <w:tcW w:type="dxa" w:w="1151"/>
          </w:tcPr>
          <w:p>
            <w:pPr>
              <w:spacing w:after="0" w:line="240" w:lineRule="auto"/>
              <w:jc w:val="center"/>
            </w:pPr>
            <w:r/>
            <w:r>
              <w:rPr>
                <w:sz w:val="15"/>
              </w:rPr>
              <w:t>5,674</w:t>
            </w:r>
          </w:p>
        </w:tc>
        <w:tc>
          <w:tcPr>
            <w:tcW w:type="dxa" w:w="921"/>
          </w:tcPr>
          <w:p>
            <w:pPr>
              <w:spacing w:after="0" w:line="240" w:lineRule="auto"/>
              <w:jc w:val="center"/>
            </w:pPr>
            <w:r/>
            <w:r>
              <w:rPr>
                <w:sz w:val="15"/>
              </w:rPr>
              <w:t>815</w:t>
            </w:r>
          </w:p>
        </w:tc>
        <w:tc>
          <w:tcPr>
            <w:tcW w:type="dxa" w:w="1304"/>
          </w:tcPr>
          <w:p>
            <w:pPr>
              <w:spacing w:after="0" w:line="240" w:lineRule="auto"/>
              <w:jc w:val="center"/>
            </w:pPr>
            <w:r/>
            <w:r>
              <w:rPr>
                <w:sz w:val="15"/>
              </w:rPr>
              <w:t>pKa units</w:t>
            </w:r>
          </w:p>
        </w:tc>
        <w:tc>
          <w:tcPr>
            <w:tcW w:type="dxa" w:w="1228"/>
          </w:tcPr>
          <w:p>
            <w:pPr>
              <w:spacing w:after="0" w:line="240" w:lineRule="auto"/>
              <w:jc w:val="center"/>
            </w:pPr>
            <w:r/>
            <w:r>
              <w:rPr>
                <w:sz w:val="15"/>
              </w:rPr>
              <w:t>none</w:t>
            </w:r>
          </w:p>
        </w:tc>
        <w:tc>
          <w:tcPr>
            <w:tcW w:type="dxa" w:w="2071"/>
          </w:tcPr>
          <w:p>
            <w:pPr>
              <w:spacing w:after="0" w:line="240" w:lineRule="auto"/>
              <w:jc w:val="center"/>
            </w:pPr>
            <w:r/>
            <w:r>
              <w:rPr>
                <w:sz w:val="15"/>
              </w:rPr>
              <w:t>0.00 to 15.70</w:t>
            </w:r>
          </w:p>
        </w:tc>
        <w:tc>
          <w:tcPr>
            <w:tcW w:type="dxa" w:w="1151"/>
          </w:tcPr>
          <w:p>
            <w:pPr>
              <w:spacing w:after="0" w:line="240" w:lineRule="auto"/>
              <w:jc w:val="center"/>
            </w:pPr>
            <w:r/>
            <w:r>
              <w:rPr>
                <w:sz w:val="15"/>
              </w:rPr>
              <w:t>7.76</w:t>
            </w:r>
          </w:p>
        </w:tc>
      </w:tr>
      <w:tr>
        <w:tc>
          <w:tcPr>
            <w:tcW w:type="dxa" w:w="1534"/>
          </w:tcPr>
          <w:p>
            <w:pPr>
              <w:spacing w:after="0" w:line="240" w:lineRule="auto"/>
              <w:jc w:val="left"/>
            </w:pPr>
            <w:r/>
            <w:r>
              <w:rPr>
                <w:sz w:val="15"/>
              </w:rPr>
              <w:t>CL</w:t>
            </w:r>
          </w:p>
        </w:tc>
        <w:tc>
          <w:tcPr>
            <w:tcW w:type="dxa" w:w="1151"/>
          </w:tcPr>
          <w:p>
            <w:pPr>
              <w:spacing w:after="0" w:line="240" w:lineRule="auto"/>
              <w:jc w:val="center"/>
            </w:pPr>
            <w:r/>
            <w:r>
              <w:rPr>
                <w:sz w:val="15"/>
              </w:rPr>
              <w:t>1,287</w:t>
            </w:r>
          </w:p>
        </w:tc>
        <w:tc>
          <w:tcPr>
            <w:tcW w:type="dxa" w:w="921"/>
          </w:tcPr>
          <w:p>
            <w:pPr>
              <w:spacing w:after="0" w:line="240" w:lineRule="auto"/>
              <w:jc w:val="center"/>
            </w:pPr>
            <w:r/>
            <w:r>
              <w:rPr>
                <w:sz w:val="15"/>
              </w:rPr>
              <w:t>177</w:t>
            </w:r>
          </w:p>
        </w:tc>
        <w:tc>
          <w:tcPr>
            <w:tcW w:type="dxa" w:w="1304"/>
          </w:tcPr>
          <w:p>
            <w:pPr>
              <w:spacing w:after="0" w:line="240" w:lineRule="auto"/>
              <w:jc w:val="center"/>
            </w:pPr>
            <w:r/>
            <w:r>
              <w:rPr>
                <w:sz w:val="15"/>
              </w:rPr>
              <w:t>L h⁻¹ kg⁻¹</w:t>
            </w:r>
          </w:p>
        </w:tc>
        <w:tc>
          <w:tcPr>
            <w:tcW w:type="dxa" w:w="1228"/>
          </w:tcPr>
          <w:p>
            <w:pPr>
              <w:spacing w:after="0" w:line="240" w:lineRule="auto"/>
              <w:jc w:val="center"/>
            </w:pPr>
            <w:r/>
            <w:r>
              <w:rPr>
                <w:sz w:val="15"/>
              </w:rPr>
              <w:t>log₁₀</w:t>
            </w:r>
          </w:p>
        </w:tc>
        <w:tc>
          <w:tcPr>
            <w:tcW w:type="dxa" w:w="2071"/>
          </w:tcPr>
          <w:p>
            <w:pPr>
              <w:spacing w:after="0" w:line="240" w:lineRule="auto"/>
              <w:jc w:val="center"/>
            </w:pPr>
            <w:r/>
            <w:r>
              <w:rPr>
                <w:sz w:val="15"/>
              </w:rPr>
              <w:t>2.22×10⁻⁴ to 64.2</w:t>
            </w:r>
          </w:p>
        </w:tc>
        <w:tc>
          <w:tcPr>
            <w:tcW w:type="dxa" w:w="1151"/>
          </w:tcPr>
          <w:p>
            <w:pPr>
              <w:spacing w:after="0" w:line="240" w:lineRule="auto"/>
              <w:jc w:val="center"/>
            </w:pPr>
            <w:r/>
            <w:r>
              <w:rPr>
                <w:sz w:val="15"/>
              </w:rPr>
              <w:t>0.282</w:t>
            </w:r>
          </w:p>
        </w:tc>
      </w:tr>
      <w:tr>
        <w:tc>
          <w:tcPr>
            <w:tcW w:type="dxa" w:w="1534"/>
          </w:tcPr>
          <w:p>
            <w:pPr>
              <w:spacing w:after="0" w:line="240" w:lineRule="auto"/>
              <w:jc w:val="left"/>
            </w:pPr>
            <w:r/>
            <w:r>
              <w:rPr>
                <w:sz w:val="15"/>
              </w:rPr>
              <w:t>VDss</w:t>
            </w:r>
          </w:p>
        </w:tc>
        <w:tc>
          <w:tcPr>
            <w:tcW w:type="dxa" w:w="1151"/>
          </w:tcPr>
          <w:p>
            <w:pPr>
              <w:spacing w:after="0" w:line="240" w:lineRule="auto"/>
              <w:jc w:val="center"/>
            </w:pPr>
            <w:r/>
            <w:r>
              <w:rPr>
                <w:sz w:val="15"/>
              </w:rPr>
              <w:t>1,287</w:t>
            </w:r>
          </w:p>
        </w:tc>
        <w:tc>
          <w:tcPr>
            <w:tcW w:type="dxa" w:w="921"/>
          </w:tcPr>
          <w:p>
            <w:pPr>
              <w:spacing w:after="0" w:line="240" w:lineRule="auto"/>
              <w:jc w:val="center"/>
            </w:pPr>
            <w:r/>
            <w:r>
              <w:rPr>
                <w:sz w:val="15"/>
              </w:rPr>
              <w:t>177</w:t>
            </w:r>
          </w:p>
        </w:tc>
        <w:tc>
          <w:tcPr>
            <w:tcW w:type="dxa" w:w="1304"/>
          </w:tcPr>
          <w:p>
            <w:pPr>
              <w:spacing w:after="0" w:line="240" w:lineRule="auto"/>
              <w:jc w:val="center"/>
            </w:pPr>
            <w:r/>
            <w:r>
              <w:rPr>
                <w:sz w:val="15"/>
              </w:rPr>
              <w:t>L kg⁻¹</w:t>
            </w:r>
          </w:p>
        </w:tc>
        <w:tc>
          <w:tcPr>
            <w:tcW w:type="dxa" w:w="1228"/>
          </w:tcPr>
          <w:p>
            <w:pPr>
              <w:spacing w:after="0" w:line="240" w:lineRule="auto"/>
              <w:jc w:val="center"/>
            </w:pPr>
            <w:r/>
            <w:r>
              <w:rPr>
                <w:sz w:val="15"/>
              </w:rPr>
              <w:t>log₁₀</w:t>
            </w:r>
          </w:p>
        </w:tc>
        <w:tc>
          <w:tcPr>
            <w:tcW w:type="dxa" w:w="2071"/>
          </w:tcPr>
          <w:p>
            <w:pPr>
              <w:spacing w:after="0" w:line="240" w:lineRule="auto"/>
              <w:jc w:val="center"/>
            </w:pPr>
            <w:r/>
            <w:r>
              <w:rPr>
                <w:sz w:val="15"/>
              </w:rPr>
              <w:t>0.002 to 1114.6</w:t>
            </w:r>
          </w:p>
        </w:tc>
        <w:tc>
          <w:tcPr>
            <w:tcW w:type="dxa" w:w="1151"/>
          </w:tcPr>
          <w:p>
            <w:pPr>
              <w:spacing w:after="0" w:line="240" w:lineRule="auto"/>
              <w:jc w:val="center"/>
            </w:pPr>
            <w:r/>
            <w:r>
              <w:rPr>
                <w:sz w:val="15"/>
              </w:rPr>
              <w:t>1.20</w:t>
            </w:r>
          </w:p>
        </w:tc>
      </w:tr>
      <w:tr>
        <w:tc>
          <w:tcPr>
            <w:tcW w:type="dxa" w:w="1534"/>
            <w:tcBorders>
              <w:bottom w:val="single" w:sz="6" w:space="0" w:color="000000"/>
            </w:tcBorders>
          </w:tcPr>
          <w:p>
            <w:pPr>
              <w:spacing w:after="0" w:line="240" w:lineRule="auto"/>
              <w:jc w:val="left"/>
            </w:pPr>
            <w:r/>
            <w:r>
              <w:rPr>
                <w:sz w:val="15"/>
              </w:rPr>
              <w:t>Fu</w:t>
            </w:r>
          </w:p>
        </w:tc>
        <w:tc>
          <w:tcPr>
            <w:tcW w:type="dxa" w:w="1151"/>
            <w:tcBorders>
              <w:bottom w:val="single" w:sz="6" w:space="0" w:color="000000"/>
            </w:tcBorders>
          </w:tcPr>
          <w:p>
            <w:pPr>
              <w:spacing w:after="0" w:line="240" w:lineRule="auto"/>
              <w:jc w:val="center"/>
            </w:pPr>
            <w:r/>
            <w:r>
              <w:rPr>
                <w:sz w:val="15"/>
              </w:rPr>
              <w:t>4,042</w:t>
            </w:r>
          </w:p>
        </w:tc>
        <w:tc>
          <w:tcPr>
            <w:tcW w:type="dxa" w:w="921"/>
            <w:tcBorders>
              <w:bottom w:val="single" w:sz="6" w:space="0" w:color="000000"/>
            </w:tcBorders>
          </w:tcPr>
          <w:p>
            <w:pPr>
              <w:spacing w:after="0" w:line="240" w:lineRule="auto"/>
              <w:jc w:val="center"/>
            </w:pPr>
            <w:r/>
            <w:r>
              <w:rPr>
                <w:sz w:val="15"/>
              </w:rPr>
              <w:t>633</w:t>
            </w:r>
          </w:p>
        </w:tc>
        <w:tc>
          <w:tcPr>
            <w:tcW w:type="dxa" w:w="1304"/>
            <w:tcBorders>
              <w:bottom w:val="single" w:sz="6" w:space="0" w:color="000000"/>
            </w:tcBorders>
          </w:tcPr>
          <w:p>
            <w:pPr>
              <w:spacing w:after="0" w:line="240" w:lineRule="auto"/>
              <w:jc w:val="center"/>
            </w:pPr>
            <w:r/>
            <w:r>
              <w:rPr>
                <w:sz w:val="15"/>
              </w:rPr>
              <w:t>fraction</w:t>
            </w:r>
          </w:p>
        </w:tc>
        <w:tc>
          <w:tcPr>
            <w:tcW w:type="dxa" w:w="1228"/>
            <w:tcBorders>
              <w:bottom w:val="single" w:sz="6" w:space="0" w:color="000000"/>
            </w:tcBorders>
          </w:tcPr>
          <w:p>
            <w:pPr>
              <w:spacing w:after="0" w:line="240" w:lineRule="auto"/>
              <w:jc w:val="center"/>
            </w:pPr>
            <w:r/>
            <w:r>
              <w:rPr>
                <w:sz w:val="15"/>
              </w:rPr>
              <w:t>log₁₀</w:t>
            </w:r>
          </w:p>
        </w:tc>
        <w:tc>
          <w:tcPr>
            <w:tcW w:type="dxa" w:w="2071"/>
            <w:tcBorders>
              <w:bottom w:val="single" w:sz="6" w:space="0" w:color="000000"/>
            </w:tcBorders>
          </w:tcPr>
          <w:p>
            <w:pPr>
              <w:spacing w:after="0" w:line="240" w:lineRule="auto"/>
              <w:jc w:val="center"/>
            </w:pPr>
            <w:r/>
            <w:r>
              <w:rPr>
                <w:sz w:val="15"/>
              </w:rPr>
              <w:t>5.0×10⁻⁴ to 1.00</w:t>
            </w:r>
          </w:p>
        </w:tc>
        <w:tc>
          <w:tcPr>
            <w:tcW w:type="dxa" w:w="1151"/>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val="0"/>
          <w:i w:val="0"/>
        </w:rPr>
        <w:t>All are GFN2-xTB (xTB 6.7.1) single-point calculations with neutral charge and singlet multiplicity assumed for every compound and no geometry optimization at the xTB level, run on the lowest-energy MMFF94-optimized ETKDGv3 conformer. The pKa features are computed on the largest fragment with the ALPB implicit-solvent model for water, whereas the CL and VDss descriptors are computed in the gas phase.</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6316717"/>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6316717"/>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then follow the same protocol: the official split, with ten independent seeds averaged into a single ensemble prediction; the metrics used to score those predictions are given in Section III-G. Quantum-chemical features enter the graph models as per-atom charges and bond orders and the CL and VDss models as whole-molecule frontier-orbital terms; the Fu model uses deterministic descriptors only. Figs. 3 and 4 detail the two architectures.</w:t>
      </w:r>
    </w:p>
    <w:p>
      <w:pPr>
        <w:jc w:val="center"/>
      </w:pPr>
      <w:r>
        <w:drawing>
          <wp:inline xmlns:a="http://schemas.openxmlformats.org/drawingml/2006/main" xmlns:pic="http://schemas.openxmlformats.org/drawingml/2006/picture">
            <wp:extent cx="5943600" cy="2669915"/>
            <wp:docPr id="3" name="Picture 3"/>
            <wp:cNvGraphicFramePr>
              <a:graphicFrameLocks noChangeAspect="1"/>
            </wp:cNvGraphicFramePr>
            <a:graphic>
              <a:graphicData uri="http://schemas.openxmlformats.org/drawingml/2006/picture">
                <pic:pic>
                  <pic:nvPicPr>
                    <pic:cNvPr id="0" name="GMPNN.png"/>
                    <pic:cNvPicPr/>
                  </pic:nvPicPr>
                  <pic:blipFill>
                    <a:blip r:embed="rId11"/>
                    <a:stretch>
                      <a:fillRect/>
                    </a:stretch>
                  </pic:blipFill>
                  <pic:spPr>
                    <a:xfrm>
                      <a:off x="0" y="0"/>
                      <a:ext cx="5943600" cy="2669915"/>
                    </a:xfrm>
                    <a:prstGeom prst="rect"/>
                  </pic:spPr>
                </pic:pic>
              </a:graphicData>
            </a:graphic>
          </wp:inline>
        </w:drawing>
      </w:r>
    </w:p>
    <w:p>
      <w:pPr>
        <w:jc w:val="both"/>
      </w:pPr>
      <w:r>
        <w:rPr>
          <w:sz w:val="16"/>
        </w:rPr>
        <w:t xml:space="preserve">Fig. 3. </w:t>
      </w:r>
      <w:r>
        <w:rPr>
          <w:sz w:val="16"/>
        </w:rPr>
        <w:t>The GraphMPNN architecture used for the two pKa endpoints. A canonical SMILES string is featurized with RDKit and semi-empirical quantum chemistry into a molecular graph with 36-dimensional atom and 8-dimensional bond features; the ionizable site located by the acidic or basic SMARTS matcher is marked as an additional node feature. Atom and bond features are projected to 128 dimensions and refined by four edge-gated message-passing layers, in each of which a gate computed from the bond features alone modulates each neighbour's transformed state (2), the gated messages are summed over bonded neighbours (3), and the result updates the atom state through a gated recurrent cell applied residually (4). The final atom states are combined into a 384-dimensional graph readout by concatenating the site-atom embedding with masked mean and maximum pools and applying layer normalization (5); a two-layer head then predicts the standardized pKa, which is returned to pKa units using the training-split statistics. One model is trained per endpoint; for the basic endpoint the site term of the readout is omitted, giving a 256-dimensional readout.</w:t>
      </w:r>
    </w:p>
    <w:p>
      <w:pPr>
        <w:jc w:val="center"/>
      </w:pPr>
      <w:r>
        <w:drawing>
          <wp:inline xmlns:a="http://schemas.openxmlformats.org/drawingml/2006/main" xmlns:pic="http://schemas.openxmlformats.org/drawingml/2006/picture">
            <wp:extent cx="5943600" cy="5924489"/>
            <wp:docPr id="4" name="Picture 4"/>
            <wp:cNvGraphicFramePr>
              <a:graphicFrameLocks noChangeAspect="1"/>
            </wp:cNvGraphicFramePr>
            <a:graphic>
              <a:graphicData uri="http://schemas.openxmlformats.org/drawingml/2006/picture">
                <pic:pic>
                  <pic:nvPicPr>
                    <pic:cNvPr id="0" name="MFMN_Architecture.drawio.png"/>
                    <pic:cNvPicPr/>
                  </pic:nvPicPr>
                  <pic:blipFill>
                    <a:blip r:embed="rId12"/>
                    <a:stretch>
                      <a:fillRect/>
                    </a:stretch>
                  </pic:blipFill>
                  <pic:spPr>
                    <a:xfrm>
                      <a:off x="0" y="0"/>
                      <a:ext cx="5943600" cy="5924489"/>
                    </a:xfrm>
                    <a:prstGeom prst="rect"/>
                  </pic:spPr>
                </pic:pic>
              </a:graphicData>
            </a:graphic>
          </wp:inline>
        </w:drawing>
      </w:r>
    </w:p>
    <w:p>
      <w:pPr>
        <w:jc w:val="both"/>
      </w:pPr>
      <w:r>
        <w:rPr>
          <w:sz w:val="16"/>
        </w:rPr>
        <w:t xml:space="preserve">Fig. 4. </w:t>
      </w:r>
      <w:r>
        <w:rPr>
          <w:sz w:val="16"/>
        </w:rPr>
        <w:t>The MFMN architecture used for CL, VDss and Fu. Top: each molecule yields a shared context vector — 199 dimensions for CL and VDss, 1,419 for Fu — together with seven raw descriptor blocks named for the mechanism each represents. Middle: every factor is embedded into eight dimensions from the context concatenated with its own block (6); in the dynamically gated variant a second branch of the same input produces a per-compound sigmoid gate that multiplies the value branch elementwise (7), while the ungated variant used for VDss omits it. The seven embeddings concatenate to a 56-dimensional latent. Auxiliary heads, active during training for CL and VDss only, predict one measured property per factor (9). Bottom: per target, each factor embedding is projected to a rank-8 vector whose pairwise products are summed by the factorization identity (8), and the resulting interaction term is concatenated with the factor latent to give 64 dimensions, from which a two-layer pathway predicts the standardized target. The table gives the configuration of each endpoint; parameter counts are those of Table III.</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Layout w:type="fixed"/>
        <w:tblW w:w="9360" w:type="dxa"/>
      </w:tblPr>
      <w:tblGrid>
        <w:gridCol w:w="3120"/>
        <w:gridCol w:w="3120"/>
        <w:gridCol w:w="3120"/>
      </w:tblGrid>
      <w:tr>
        <w:tc>
          <w:tcPr>
            <w:tcW w:type="dxa" w:w="2824"/>
            <w:tcBorders>
              <w:top w:val="single" w:sz="6" w:space="0" w:color="000000"/>
              <w:bottom w:val="single" w:sz="6" w:space="0" w:color="000000"/>
            </w:tcBorders>
          </w:tcPr>
          <w:p>
            <w:pPr>
              <w:spacing w:after="0" w:line="240" w:lineRule="auto"/>
              <w:jc w:val="left"/>
            </w:pPr>
            <w:r/>
            <w:r>
              <w:rPr>
                <w:b/>
                <w:sz w:val="15"/>
              </w:rPr>
              <w:t>Setting</w:t>
            </w:r>
          </w:p>
        </w:tc>
        <w:tc>
          <w:tcPr>
            <w:tcW w:type="dxa" w:w="3147"/>
            <w:tcBorders>
              <w:top w:val="single" w:sz="6" w:space="0" w:color="000000"/>
              <w:bottom w:val="single" w:sz="6" w:space="0" w:color="000000"/>
            </w:tcBorders>
          </w:tcPr>
          <w:p>
            <w:pPr>
              <w:spacing w:after="0" w:line="240" w:lineRule="auto"/>
              <w:jc w:val="center"/>
            </w:pPr>
            <w:r/>
            <w:r>
              <w:rPr>
                <w:b/>
                <w:sz w:val="15"/>
              </w:rPr>
              <w:t>pKa models</w:t>
            </w:r>
          </w:p>
        </w:tc>
        <w:tc>
          <w:tcPr>
            <w:tcW w:type="dxa" w:w="3389"/>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824"/>
          </w:tcPr>
          <w:p>
            <w:pPr>
              <w:spacing w:after="0" w:line="240" w:lineRule="auto"/>
              <w:jc w:val="left"/>
            </w:pPr>
            <w:r/>
            <w:r>
              <w:rPr>
                <w:sz w:val="15"/>
              </w:rPr>
              <w:t>Architecture</w:t>
            </w:r>
          </w:p>
        </w:tc>
        <w:tc>
          <w:tcPr>
            <w:tcW w:type="dxa" w:w="3147"/>
          </w:tcPr>
          <w:p>
            <w:pPr>
              <w:spacing w:after="0" w:line="240" w:lineRule="auto"/>
              <w:jc w:val="center"/>
            </w:pPr>
            <w:r/>
            <w:r>
              <w:rPr>
                <w:sz w:val="15"/>
              </w:rPr>
              <w:t>GraphMPNN</w:t>
            </w:r>
          </w:p>
        </w:tc>
        <w:tc>
          <w:tcPr>
            <w:tcW w:type="dxa" w:w="3389"/>
          </w:tcPr>
          <w:p>
            <w:pPr>
              <w:spacing w:after="0" w:line="240" w:lineRule="auto"/>
              <w:jc w:val="center"/>
            </w:pPr>
            <w:r/>
            <w:r>
              <w:rPr>
                <w:sz w:val="15"/>
              </w:rPr>
              <w:t>MFMN family</w:t>
            </w:r>
          </w:p>
        </w:tc>
      </w:tr>
      <w:tr>
        <w:tc>
          <w:tcPr>
            <w:tcW w:type="dxa" w:w="2824"/>
          </w:tcPr>
          <w:p>
            <w:pPr>
              <w:spacing w:after="0" w:line="240" w:lineRule="auto"/>
              <w:jc w:val="left"/>
            </w:pPr>
            <w:r/>
            <w:r>
              <w:rPr>
                <w:sz w:val="15"/>
              </w:rPr>
              <w:t>Endpoints</w:t>
            </w:r>
          </w:p>
        </w:tc>
        <w:tc>
          <w:tcPr>
            <w:tcW w:type="dxa" w:w="3147"/>
          </w:tcPr>
          <w:p>
            <w:pPr>
              <w:spacing w:after="0" w:line="240" w:lineRule="auto"/>
              <w:jc w:val="center"/>
            </w:pPr>
            <w:r/>
            <w:r>
              <w:rPr>
                <w:sz w:val="15"/>
              </w:rPr>
              <w:t>pKa (acidic), pKa (basic)</w:t>
            </w:r>
          </w:p>
        </w:tc>
        <w:tc>
          <w:tcPr>
            <w:tcW w:type="dxa" w:w="3389"/>
          </w:tcPr>
          <w:p>
            <w:pPr>
              <w:spacing w:after="0" w:line="240" w:lineRule="auto"/>
              <w:jc w:val="center"/>
            </w:pPr>
            <w:r/>
            <w:r>
              <w:rPr>
                <w:sz w:val="15"/>
              </w:rPr>
              <w:t>CL, VDss, Fu</w:t>
            </w:r>
          </w:p>
        </w:tc>
      </w:tr>
      <w:tr>
        <w:tc>
          <w:tcPr>
            <w:tcW w:type="dxa" w:w="2824"/>
          </w:tcPr>
          <w:p>
            <w:pPr>
              <w:spacing w:after="0" w:line="240" w:lineRule="auto"/>
              <w:jc w:val="left"/>
            </w:pPr>
            <w:r/>
            <w:r>
              <w:rPr>
                <w:sz w:val="15"/>
              </w:rPr>
              <w:t>Hidden / factor width</w:t>
            </w:r>
          </w:p>
        </w:tc>
        <w:tc>
          <w:tcPr>
            <w:tcW w:type="dxa" w:w="3147"/>
          </w:tcPr>
          <w:p>
            <w:pPr>
              <w:spacing w:after="0" w:line="240" w:lineRule="auto"/>
              <w:jc w:val="center"/>
            </w:pPr>
            <w:r/>
            <w:r>
              <w:rPr>
                <w:sz w:val="15"/>
              </w:rPr>
              <w:t>128, 4 layers</w:t>
            </w:r>
          </w:p>
        </w:tc>
        <w:tc>
          <w:tcPr>
            <w:tcW w:type="dxa" w:w="3389"/>
          </w:tcPr>
          <w:p>
            <w:pPr>
              <w:spacing w:after="0" w:line="240" w:lineRule="auto"/>
              <w:jc w:val="center"/>
            </w:pPr>
            <w:r/>
            <w:r>
              <w:rPr>
                <w:sz w:val="15"/>
              </w:rPr>
              <w:t>8 per factor, 7 factors</w:t>
            </w:r>
          </w:p>
        </w:tc>
      </w:tr>
      <w:tr>
        <w:tc>
          <w:tcPr>
            <w:tcW w:type="dxa" w:w="2824"/>
          </w:tcPr>
          <w:p>
            <w:pPr>
              <w:spacing w:after="0" w:line="240" w:lineRule="auto"/>
              <w:jc w:val="left"/>
            </w:pPr>
            <w:r/>
            <w:r>
              <w:rPr>
                <w:sz w:val="15"/>
              </w:rPr>
              <w:t>Dropout</w:t>
            </w:r>
          </w:p>
        </w:tc>
        <w:tc>
          <w:tcPr>
            <w:tcW w:type="dxa" w:w="3147"/>
          </w:tcPr>
          <w:p>
            <w:pPr>
              <w:spacing w:after="0" w:line="240" w:lineRule="auto"/>
              <w:jc w:val="center"/>
            </w:pPr>
            <w:r/>
            <w:r>
              <w:rPr>
                <w:sz w:val="15"/>
              </w:rPr>
              <w:t>0.1 (0.2 in head)</w:t>
            </w:r>
          </w:p>
        </w:tc>
        <w:tc>
          <w:tcPr>
            <w:tcW w:type="dxa" w:w="3389"/>
          </w:tcPr>
          <w:p>
            <w:pPr>
              <w:spacing w:after="0" w:line="240" w:lineRule="auto"/>
              <w:jc w:val="center"/>
            </w:pPr>
            <w:r/>
            <w:r>
              <w:rPr>
                <w:sz w:val="15"/>
              </w:rPr>
              <w:t>0.2 (0.35 for Fu)</w:t>
            </w:r>
          </w:p>
        </w:tc>
      </w:tr>
      <w:tr>
        <w:tc>
          <w:tcPr>
            <w:tcW w:type="dxa" w:w="2824"/>
          </w:tcPr>
          <w:p>
            <w:pPr>
              <w:spacing w:after="0" w:line="240" w:lineRule="auto"/>
              <w:jc w:val="left"/>
            </w:pPr>
            <w:r/>
            <w:r>
              <w:rPr>
                <w:sz w:val="15"/>
              </w:rPr>
              <w:t>Optimizer</w:t>
            </w:r>
          </w:p>
        </w:tc>
        <w:tc>
          <w:tcPr>
            <w:tcW w:type="dxa" w:w="3147"/>
          </w:tcPr>
          <w:p>
            <w:pPr>
              <w:spacing w:after="0" w:line="240" w:lineRule="auto"/>
              <w:jc w:val="center"/>
            </w:pPr>
            <w:r/>
            <w:r>
              <w:rPr>
                <w:sz w:val="15"/>
              </w:rPr>
              <w:t>AdamW</w:t>
            </w:r>
          </w:p>
        </w:tc>
        <w:tc>
          <w:tcPr>
            <w:tcW w:type="dxa" w:w="3389"/>
          </w:tcPr>
          <w:p>
            <w:pPr>
              <w:spacing w:after="0" w:line="240" w:lineRule="auto"/>
              <w:jc w:val="center"/>
            </w:pPr>
            <w:r/>
            <w:r>
              <w:rPr>
                <w:sz w:val="15"/>
              </w:rPr>
              <w:t>AdamW</w:t>
            </w:r>
          </w:p>
        </w:tc>
      </w:tr>
      <w:tr>
        <w:tc>
          <w:tcPr>
            <w:tcW w:type="dxa" w:w="2824"/>
          </w:tcPr>
          <w:p>
            <w:pPr>
              <w:spacing w:after="0" w:line="240" w:lineRule="auto"/>
              <w:jc w:val="left"/>
            </w:pPr>
            <w:r/>
            <w:r>
              <w:rPr>
                <w:sz w:val="15"/>
              </w:rPr>
              <w:t>Learning rate</w:t>
            </w:r>
          </w:p>
        </w:tc>
        <w:tc>
          <w:tcPr>
            <w:tcW w:type="dxa" w:w="3147"/>
          </w:tcPr>
          <w:p>
            <w:pPr>
              <w:spacing w:after="0" w:line="240" w:lineRule="auto"/>
              <w:jc w:val="center"/>
            </w:pPr>
            <w:r/>
            <w:r>
              <w:rPr>
                <w:sz w:val="15"/>
              </w:rPr>
              <w:t>5×10⁻⁴</w:t>
            </w:r>
          </w:p>
        </w:tc>
        <w:tc>
          <w:tcPr>
            <w:tcW w:type="dxa" w:w="3389"/>
          </w:tcPr>
          <w:p>
            <w:pPr>
              <w:spacing w:after="0" w:line="240" w:lineRule="auto"/>
              <w:jc w:val="center"/>
            </w:pPr>
            <w:r/>
            <w:r>
              <w:rPr>
                <w:sz w:val="15"/>
              </w:rPr>
              <w:t>3×10⁻³</w:t>
            </w:r>
          </w:p>
        </w:tc>
      </w:tr>
      <w:tr>
        <w:tc>
          <w:tcPr>
            <w:tcW w:type="dxa" w:w="2824"/>
          </w:tcPr>
          <w:p>
            <w:pPr>
              <w:spacing w:after="0" w:line="240" w:lineRule="auto"/>
              <w:jc w:val="left"/>
            </w:pPr>
            <w:r/>
            <w:r>
              <w:rPr>
                <w:sz w:val="15"/>
              </w:rPr>
              <w:t>Weight decay</w:t>
            </w:r>
          </w:p>
        </w:tc>
        <w:tc>
          <w:tcPr>
            <w:tcW w:type="dxa" w:w="3147"/>
          </w:tcPr>
          <w:p>
            <w:pPr>
              <w:spacing w:after="0" w:line="240" w:lineRule="auto"/>
              <w:jc w:val="center"/>
            </w:pPr>
            <w:r/>
            <w:r>
              <w:rPr>
                <w:sz w:val="15"/>
              </w:rPr>
              <w:t>1×10⁻⁵</w:t>
            </w:r>
          </w:p>
        </w:tc>
        <w:tc>
          <w:tcPr>
            <w:tcW w:type="dxa" w:w="3389"/>
          </w:tcPr>
          <w:p>
            <w:pPr>
              <w:spacing w:after="0" w:line="240" w:lineRule="auto"/>
              <w:jc w:val="center"/>
            </w:pPr>
            <w:r/>
            <w:r>
              <w:rPr>
                <w:sz w:val="15"/>
              </w:rPr>
              <w:t>1×10⁻² (3×10⁻² for Fu)</w:t>
            </w:r>
          </w:p>
        </w:tc>
      </w:tr>
      <w:tr>
        <w:tc>
          <w:tcPr>
            <w:tcW w:type="dxa" w:w="2824"/>
          </w:tcPr>
          <w:p>
            <w:pPr>
              <w:spacing w:after="0" w:line="240" w:lineRule="auto"/>
              <w:jc w:val="left"/>
            </w:pPr>
            <w:r/>
            <w:r>
              <w:rPr>
                <w:sz w:val="15"/>
              </w:rPr>
              <w:t>Batch size</w:t>
            </w:r>
          </w:p>
        </w:tc>
        <w:tc>
          <w:tcPr>
            <w:tcW w:type="dxa" w:w="3147"/>
          </w:tcPr>
          <w:p>
            <w:pPr>
              <w:spacing w:after="0" w:line="240" w:lineRule="auto"/>
              <w:jc w:val="center"/>
            </w:pPr>
            <w:r/>
            <w:r>
              <w:rPr>
                <w:sz w:val="15"/>
              </w:rPr>
              <w:t>64</w:t>
            </w:r>
          </w:p>
        </w:tc>
        <w:tc>
          <w:tcPr>
            <w:tcW w:type="dxa" w:w="3389"/>
          </w:tcPr>
          <w:p>
            <w:pPr>
              <w:spacing w:after="0" w:line="240" w:lineRule="auto"/>
              <w:jc w:val="center"/>
            </w:pPr>
            <w:r/>
            <w:r>
              <w:rPr>
                <w:sz w:val="15"/>
              </w:rPr>
              <w:t>128</w:t>
            </w:r>
          </w:p>
        </w:tc>
      </w:tr>
      <w:tr>
        <w:tc>
          <w:tcPr>
            <w:tcW w:type="dxa" w:w="2824"/>
          </w:tcPr>
          <w:p>
            <w:pPr>
              <w:spacing w:after="0" w:line="240" w:lineRule="auto"/>
              <w:jc w:val="left"/>
            </w:pPr>
            <w:r/>
            <w:r>
              <w:rPr>
                <w:sz w:val="15"/>
              </w:rPr>
              <w:t>Max epochs</w:t>
            </w:r>
          </w:p>
        </w:tc>
        <w:tc>
          <w:tcPr>
            <w:tcW w:type="dxa" w:w="3147"/>
          </w:tcPr>
          <w:p>
            <w:pPr>
              <w:spacing w:after="0" w:line="240" w:lineRule="auto"/>
              <w:jc w:val="center"/>
            </w:pPr>
            <w:r/>
            <w:r>
              <w:rPr>
                <w:sz w:val="15"/>
              </w:rPr>
              <w:t>300</w:t>
            </w:r>
          </w:p>
        </w:tc>
        <w:tc>
          <w:tcPr>
            <w:tcW w:type="dxa" w:w="3389"/>
          </w:tcPr>
          <w:p>
            <w:pPr>
              <w:spacing w:after="0" w:line="240" w:lineRule="auto"/>
              <w:jc w:val="center"/>
            </w:pPr>
            <w:r/>
            <w:r>
              <w:rPr>
                <w:sz w:val="15"/>
              </w:rPr>
              <w:t>400</w:t>
            </w:r>
          </w:p>
        </w:tc>
      </w:tr>
      <w:tr>
        <w:tc>
          <w:tcPr>
            <w:tcW w:type="dxa" w:w="2824"/>
          </w:tcPr>
          <w:p>
            <w:pPr>
              <w:spacing w:after="0" w:line="240" w:lineRule="auto"/>
              <w:jc w:val="left"/>
            </w:pPr>
            <w:r/>
            <w:r>
              <w:rPr>
                <w:sz w:val="15"/>
              </w:rPr>
              <w:t>LR schedule</w:t>
            </w:r>
          </w:p>
        </w:tc>
        <w:tc>
          <w:tcPr>
            <w:tcW w:type="dxa" w:w="3147"/>
          </w:tcPr>
          <w:p>
            <w:pPr>
              <w:spacing w:after="0" w:line="240" w:lineRule="auto"/>
              <w:jc w:val="center"/>
            </w:pPr>
            <w:r/>
            <w:r>
              <w:rPr>
                <w:sz w:val="15"/>
              </w:rPr>
              <w:t>cosine annealing</w:t>
            </w:r>
          </w:p>
        </w:tc>
        <w:tc>
          <w:tcPr>
            <w:tcW w:type="dxa" w:w="3389"/>
          </w:tcPr>
          <w:p>
            <w:pPr>
              <w:spacing w:after="0" w:line="240" w:lineRule="auto"/>
              <w:jc w:val="center"/>
            </w:pPr>
            <w:r/>
            <w:r>
              <w:rPr>
                <w:sz w:val="15"/>
              </w:rPr>
              <w:t>cosine annealing</w:t>
            </w:r>
          </w:p>
        </w:tc>
      </w:tr>
      <w:tr>
        <w:tc>
          <w:tcPr>
            <w:tcW w:type="dxa" w:w="2824"/>
          </w:tcPr>
          <w:p>
            <w:pPr>
              <w:spacing w:after="0" w:line="240" w:lineRule="auto"/>
              <w:jc w:val="left"/>
            </w:pPr>
            <w:r/>
            <w:r>
              <w:rPr>
                <w:sz w:val="15"/>
              </w:rPr>
              <w:t>Gradient clipping</w:t>
            </w:r>
          </w:p>
        </w:tc>
        <w:tc>
          <w:tcPr>
            <w:tcW w:type="dxa" w:w="3147"/>
          </w:tcPr>
          <w:p>
            <w:pPr>
              <w:spacing w:after="0" w:line="240" w:lineRule="auto"/>
              <w:jc w:val="center"/>
            </w:pPr>
            <w:r/>
            <w:r>
              <w:rPr>
                <w:sz w:val="15"/>
              </w:rPr>
              <w:t>5.0</w:t>
            </w:r>
          </w:p>
        </w:tc>
        <w:tc>
          <w:tcPr>
            <w:tcW w:type="dxa" w:w="3389"/>
          </w:tcPr>
          <w:p>
            <w:pPr>
              <w:spacing w:after="0" w:line="240" w:lineRule="auto"/>
              <w:jc w:val="center"/>
            </w:pPr>
            <w:r/>
            <w:r>
              <w:rPr>
                <w:sz w:val="15"/>
              </w:rPr>
              <w:t>1.0</w:t>
            </w:r>
          </w:p>
        </w:tc>
      </w:tr>
      <w:tr>
        <w:tc>
          <w:tcPr>
            <w:tcW w:type="dxa" w:w="2824"/>
          </w:tcPr>
          <w:p>
            <w:pPr>
              <w:spacing w:after="0" w:line="240" w:lineRule="auto"/>
              <w:jc w:val="left"/>
            </w:pPr>
            <w:r/>
            <w:r>
              <w:rPr>
                <w:sz w:val="15"/>
              </w:rPr>
              <w:t>Early-stopping patience</w:t>
            </w:r>
          </w:p>
        </w:tc>
        <w:tc>
          <w:tcPr>
            <w:tcW w:type="dxa" w:w="3147"/>
          </w:tcPr>
          <w:p>
            <w:pPr>
              <w:spacing w:after="0" w:line="240" w:lineRule="auto"/>
              <w:jc w:val="center"/>
            </w:pPr>
            <w:r/>
            <w:r>
              <w:rPr>
                <w:sz w:val="15"/>
              </w:rPr>
              <w:t>40 epochs</w:t>
            </w:r>
          </w:p>
        </w:tc>
        <w:tc>
          <w:tcPr>
            <w:tcW w:type="dxa" w:w="3389"/>
          </w:tcPr>
          <w:p>
            <w:pPr>
              <w:spacing w:after="0" w:line="240" w:lineRule="auto"/>
              <w:jc w:val="center"/>
            </w:pPr>
            <w:r/>
            <w:r>
              <w:rPr>
                <w:sz w:val="15"/>
              </w:rPr>
              <w:t>50 epochs</w:t>
            </w:r>
          </w:p>
        </w:tc>
      </w:tr>
      <w:tr>
        <w:tc>
          <w:tcPr>
            <w:tcW w:type="dxa" w:w="2824"/>
          </w:tcPr>
          <w:p>
            <w:pPr>
              <w:spacing w:after="0" w:line="240" w:lineRule="auto"/>
              <w:jc w:val="left"/>
            </w:pPr>
            <w:r/>
            <w:r>
              <w:rPr>
                <w:sz w:val="15"/>
              </w:rPr>
              <w:t>Validation fraction</w:t>
            </w:r>
          </w:p>
        </w:tc>
        <w:tc>
          <w:tcPr>
            <w:tcW w:type="dxa" w:w="3147"/>
          </w:tcPr>
          <w:p>
            <w:pPr>
              <w:spacing w:after="0" w:line="240" w:lineRule="auto"/>
              <w:jc w:val="center"/>
            </w:pPr>
            <w:r/>
            <w:r>
              <w:rPr>
                <w:sz w:val="15"/>
              </w:rPr>
              <w:t>0.15</w:t>
            </w:r>
          </w:p>
        </w:tc>
        <w:tc>
          <w:tcPr>
            <w:tcW w:type="dxa" w:w="3389"/>
          </w:tcPr>
          <w:p>
            <w:pPr>
              <w:spacing w:after="0" w:line="240" w:lineRule="auto"/>
              <w:jc w:val="center"/>
            </w:pPr>
            <w:r/>
            <w:r>
              <w:rPr>
                <w:sz w:val="15"/>
              </w:rPr>
              <w:t>0.15</w:t>
            </w:r>
          </w:p>
        </w:tc>
      </w:tr>
      <w:tr>
        <w:tc>
          <w:tcPr>
            <w:tcW w:type="dxa" w:w="2824"/>
          </w:tcPr>
          <w:p>
            <w:pPr>
              <w:spacing w:after="0" w:line="240" w:lineRule="auto"/>
              <w:jc w:val="left"/>
            </w:pPr>
            <w:r/>
            <w:r>
              <w:rPr>
                <w:sz w:val="15"/>
              </w:rPr>
              <w:t>Primary loss</w:t>
            </w:r>
          </w:p>
        </w:tc>
        <w:tc>
          <w:tcPr>
            <w:tcW w:type="dxa" w:w="3147"/>
          </w:tcPr>
          <w:p>
            <w:pPr>
              <w:spacing w:after="0" w:line="240" w:lineRule="auto"/>
              <w:jc w:val="center"/>
            </w:pPr>
            <w:r/>
            <w:r>
              <w:rPr>
                <w:sz w:val="15"/>
              </w:rPr>
              <w:t>smooth L1, β = 0.5</w:t>
            </w:r>
          </w:p>
        </w:tc>
        <w:tc>
          <w:tcPr>
            <w:tcW w:type="dxa" w:w="3389"/>
          </w:tcPr>
          <w:p>
            <w:pPr>
              <w:spacing w:after="0" w:line="240" w:lineRule="auto"/>
              <w:jc w:val="center"/>
            </w:pPr>
            <w:r/>
            <w:r>
              <w:rPr>
                <w:sz w:val="15"/>
              </w:rPr>
              <w:t>smooth L1, β = 0.5</w:t>
            </w:r>
          </w:p>
        </w:tc>
      </w:tr>
      <w:tr>
        <w:tc>
          <w:tcPr>
            <w:tcW w:type="dxa" w:w="2824"/>
          </w:tcPr>
          <w:p>
            <w:pPr>
              <w:spacing w:after="0" w:line="240" w:lineRule="auto"/>
              <w:jc w:val="left"/>
            </w:pPr>
            <w:r/>
            <w:r>
              <w:rPr>
                <w:sz w:val="15"/>
              </w:rPr>
              <w:t>Seeds</w:t>
            </w:r>
          </w:p>
        </w:tc>
        <w:tc>
          <w:tcPr>
            <w:tcW w:type="dxa" w:w="3147"/>
          </w:tcPr>
          <w:p>
            <w:pPr>
              <w:spacing w:after="0" w:line="240" w:lineRule="auto"/>
              <w:jc w:val="center"/>
            </w:pPr>
            <w:r/>
            <w:r>
              <w:rPr>
                <w:sz w:val="15"/>
              </w:rPr>
              <w:t>42–51</w:t>
            </w:r>
          </w:p>
        </w:tc>
        <w:tc>
          <w:tcPr>
            <w:tcW w:type="dxa" w:w="3389"/>
          </w:tcPr>
          <w:p>
            <w:pPr>
              <w:spacing w:after="0" w:line="240" w:lineRule="auto"/>
              <w:jc w:val="center"/>
            </w:pPr>
            <w:r/>
            <w:r>
              <w:rPr>
                <w:sz w:val="15"/>
              </w:rPr>
              <w:t>42–51</w:t>
            </w:r>
          </w:p>
        </w:tc>
      </w:tr>
      <w:tr>
        <w:tc>
          <w:tcPr>
            <w:tcW w:type="dxa" w:w="2824"/>
            <w:tcBorders>
              <w:bottom w:val="single" w:sz="6" w:space="0" w:color="000000"/>
            </w:tcBorders>
          </w:tcPr>
          <w:p>
            <w:pPr>
              <w:spacing w:after="0" w:line="240" w:lineRule="auto"/>
              <w:jc w:val="left"/>
            </w:pPr>
            <w:r/>
            <w:r>
              <w:rPr>
                <w:sz w:val="15"/>
              </w:rPr>
              <w:t>Parameters</w:t>
            </w:r>
          </w:p>
        </w:tc>
        <w:tc>
          <w:tcPr>
            <w:tcW w:type="dxa" w:w="3147"/>
            <w:tcBorders>
              <w:bottom w:val="single" w:sz="6" w:space="0" w:color="000000"/>
            </w:tcBorders>
          </w:tcPr>
          <w:p>
            <w:pPr>
              <w:spacing w:after="0" w:line="240" w:lineRule="auto"/>
              <w:jc w:val="center"/>
            </w:pPr>
            <w:r/>
            <w:r>
              <w:rPr>
                <w:sz w:val="15"/>
              </w:rPr>
              <w:t>587,905 / 571,265</w:t>
            </w:r>
          </w:p>
        </w:tc>
        <w:tc>
          <w:tcPr>
            <w:tcW w:type="dxa" w:w="3389"/>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2700"/>
            <w:tcBorders>
              <w:top w:val="single" w:sz="6" w:space="0" w:color="000000"/>
              <w:bottom w:val="single" w:sz="6" w:space="0" w:color="000000"/>
            </w:tcBorders>
          </w:tcPr>
          <w:p>
            <w:pPr>
              <w:spacing w:after="0" w:line="240" w:lineRule="auto"/>
              <w:jc w:val="left"/>
            </w:pPr>
            <w:r/>
            <w:r>
              <w:rPr>
                <w:b/>
                <w:sz w:val="15"/>
              </w:rPr>
              <w:t>Endpoint</w:t>
            </w:r>
          </w:p>
        </w:tc>
        <w:tc>
          <w:tcPr>
            <w:tcW w:type="dxa" w:w="1260"/>
            <w:tcBorders>
              <w:top w:val="single" w:sz="6" w:space="0" w:color="000000"/>
              <w:bottom w:val="single" w:sz="6" w:space="0" w:color="000000"/>
            </w:tcBorders>
          </w:tcPr>
          <w:p>
            <w:pPr>
              <w:spacing w:after="0" w:line="240" w:lineRule="auto"/>
              <w:jc w:val="center"/>
            </w:pPr>
            <w:r/>
            <w:r>
              <w:rPr>
                <w:b/>
                <w:sz w:val="15"/>
              </w:rPr>
              <w:t>Metric</w:t>
            </w:r>
          </w:p>
        </w:tc>
        <w:tc>
          <w:tcPr>
            <w:tcW w:type="dxa" w:w="3060"/>
            <w:tcBorders>
              <w:top w:val="single" w:sz="6" w:space="0" w:color="000000"/>
              <w:bottom w:val="single" w:sz="6" w:space="0" w:color="000000"/>
            </w:tcBorders>
          </w:tcPr>
          <w:p>
            <w:pPr>
              <w:spacing w:after="0" w:line="240" w:lineRule="auto"/>
              <w:jc w:val="center"/>
            </w:pPr>
            <w:r/>
            <w:r>
              <w:rPr>
                <w:b/>
                <w:sz w:val="15"/>
              </w:rPr>
              <w:t>Ensemble [95% CI]</w:t>
            </w:r>
          </w:p>
        </w:tc>
        <w:tc>
          <w:tcPr>
            <w:tcW w:type="dxa" w:w="2340"/>
            <w:tcBorders>
              <w:top w:val="single" w:sz="6" w:space="0" w:color="000000"/>
              <w:bottom w:val="single" w:sz="6" w:space="0" w:color="000000"/>
            </w:tcBorders>
          </w:tcPr>
          <w:p>
            <w:pPr>
              <w:spacing w:after="0" w:line="240" w:lineRule="auto"/>
              <w:jc w:val="center"/>
            </w:pPr>
            <w:r/>
            <w:r>
              <w:rPr>
                <w:b/>
                <w:sz w:val="15"/>
              </w:rPr>
              <w:t>Seed mean ± SD</w:t>
            </w:r>
          </w:p>
        </w:tc>
      </w:tr>
      <w:tr>
        <w:tc>
          <w:tcPr>
            <w:tcW w:type="dxa" w:w="2700"/>
          </w:tcPr>
          <w:p>
            <w:pPr>
              <w:spacing w:after="0" w:line="240" w:lineRule="auto"/>
              <w:jc w:val="left"/>
            </w:pPr>
            <w:r/>
            <w:r>
              <w:rPr>
                <w:sz w:val="15"/>
              </w:rPr>
              <w:t>pKa (acidic) (n = 776)</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0.969 [0.956, 0.979]</w:t>
            </w:r>
          </w:p>
        </w:tc>
        <w:tc>
          <w:tcPr>
            <w:tcW w:type="dxa" w:w="2340"/>
          </w:tcPr>
          <w:p>
            <w:pPr>
              <w:spacing w:after="0" w:line="240" w:lineRule="auto"/>
              <w:jc w:val="center"/>
            </w:pPr>
            <w:r/>
            <w:r>
              <w:rPr>
                <w:sz w:val="15"/>
              </w:rPr>
              <w:t>0.963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0.424 [0.383, 0.471]</w:t>
            </w:r>
          </w:p>
        </w:tc>
        <w:tc>
          <w:tcPr>
            <w:tcW w:type="dxa" w:w="2340"/>
          </w:tcPr>
          <w:p>
            <w:pPr>
              <w:spacing w:after="0" w:line="240" w:lineRule="auto"/>
              <w:jc w:val="center"/>
            </w:pPr>
            <w:r/>
            <w:r>
              <w:rPr>
                <w:sz w:val="15"/>
              </w:rPr>
              <w:t>0.484 ± 0.020</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0.757 [0.622, 0.899]</w:t>
            </w:r>
          </w:p>
        </w:tc>
        <w:tc>
          <w:tcPr>
            <w:tcW w:type="dxa" w:w="2340"/>
          </w:tcPr>
          <w:p>
            <w:pPr>
              <w:spacing w:after="0" w:line="240" w:lineRule="auto"/>
              <w:jc w:val="center"/>
            </w:pPr>
            <w:r/>
            <w:r>
              <w:rPr>
                <w:sz w:val="15"/>
              </w:rPr>
              <w:t>0.820 ± 0.025</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W1</w:t>
            </w:r>
          </w:p>
        </w:tc>
        <w:tc>
          <w:tcPr>
            <w:tcW w:type="dxa" w:w="3060"/>
          </w:tcPr>
          <w:p>
            <w:pPr>
              <w:spacing w:after="0" w:line="240" w:lineRule="auto"/>
              <w:jc w:val="center"/>
            </w:pPr>
            <w:r/>
            <w:r>
              <w:rPr>
                <w:sz w:val="15"/>
              </w:rPr>
              <w:t>0.910 [0.889, 0.929]</w:t>
            </w:r>
          </w:p>
        </w:tc>
        <w:tc>
          <w:tcPr>
            <w:tcW w:type="dxa" w:w="2340"/>
          </w:tcPr>
          <w:p>
            <w:pPr>
              <w:spacing w:after="0" w:line="240" w:lineRule="auto"/>
              <w:jc w:val="center"/>
            </w:pPr>
            <w:r/>
            <w:r>
              <w:rPr>
                <w:sz w:val="15"/>
              </w:rPr>
              <w:t>0.887 ± 0.010</w:t>
            </w:r>
          </w:p>
        </w:tc>
      </w:tr>
      <w:tr>
        <w:tc>
          <w:tcPr>
            <w:tcW w:type="dxa" w:w="2700"/>
          </w:tcPr>
          <w:p>
            <w:pPr>
              <w:spacing w:after="0" w:line="240" w:lineRule="auto"/>
              <w:jc w:val="left"/>
            </w:pPr>
            <w:r/>
            <w:r>
              <w:rPr>
                <w:sz w:val="15"/>
              </w:rPr>
              <w:t>pKa (basic) (n = 815)</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0.950 [0.936, 0.962]</w:t>
            </w:r>
          </w:p>
        </w:tc>
        <w:tc>
          <w:tcPr>
            <w:tcW w:type="dxa" w:w="2340"/>
          </w:tcPr>
          <w:p>
            <w:pPr>
              <w:spacing w:after="0" w:line="240" w:lineRule="auto"/>
              <w:jc w:val="center"/>
            </w:pPr>
            <w:r/>
            <w:r>
              <w:rPr>
                <w:sz w:val="15"/>
              </w:rPr>
              <w:t>0.940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0.406 [0.372, 0.442]</w:t>
            </w:r>
          </w:p>
        </w:tc>
        <w:tc>
          <w:tcPr>
            <w:tcW w:type="dxa" w:w="2340"/>
          </w:tcPr>
          <w:p>
            <w:pPr>
              <w:spacing w:after="0" w:line="240" w:lineRule="auto"/>
              <w:jc w:val="center"/>
            </w:pPr>
            <w:r/>
            <w:r>
              <w:rPr>
                <w:sz w:val="15"/>
              </w:rPr>
              <w:t>0.461 ± 0.016</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0.654 [0.572, 0.743]</w:t>
            </w:r>
          </w:p>
        </w:tc>
        <w:tc>
          <w:tcPr>
            <w:tcW w:type="dxa" w:w="2340"/>
          </w:tcPr>
          <w:p>
            <w:pPr>
              <w:spacing w:after="0" w:line="240" w:lineRule="auto"/>
              <w:jc w:val="center"/>
            </w:pPr>
            <w:r/>
            <w:r>
              <w:rPr>
                <w:sz w:val="15"/>
              </w:rPr>
              <w:t>0.720 ± 0.013</w:t>
            </w:r>
          </w:p>
        </w:tc>
      </w:tr>
      <w:tr>
        <w:tc>
          <w:tcPr>
            <w:tcW w:type="dxa" w:w="2700"/>
            <w:tcBorders>
              <w:bottom w:val="single" w:sz="6" w:space="0" w:color="000000"/>
            </w:tcBorders>
          </w:tcPr>
          <w:p>
            <w:pPr>
              <w:spacing w:after="0" w:line="240" w:lineRule="auto"/>
              <w:jc w:val="left"/>
            </w:pPr>
            <w:r/>
            <w:r>
              <w:rPr>
                <w:sz w:val="15"/>
              </w:rPr>
            </w:r>
          </w:p>
        </w:tc>
        <w:tc>
          <w:tcPr>
            <w:tcW w:type="dxa" w:w="1260"/>
            <w:tcBorders>
              <w:bottom w:val="single" w:sz="6" w:space="0" w:color="000000"/>
            </w:tcBorders>
          </w:tcPr>
          <w:p>
            <w:pPr>
              <w:spacing w:after="0" w:line="240" w:lineRule="auto"/>
              <w:jc w:val="center"/>
            </w:pPr>
            <w:r/>
            <w:r>
              <w:rPr>
                <w:sz w:val="15"/>
              </w:rPr>
              <w:t>W1</w:t>
            </w:r>
          </w:p>
        </w:tc>
        <w:tc>
          <w:tcPr>
            <w:tcW w:type="dxa" w:w="3060"/>
            <w:tcBorders>
              <w:bottom w:val="single" w:sz="6" w:space="0" w:color="000000"/>
            </w:tcBorders>
          </w:tcPr>
          <w:p>
            <w:pPr>
              <w:spacing w:after="0" w:line="240" w:lineRule="auto"/>
              <w:jc w:val="center"/>
            </w:pPr>
            <w:r/>
            <w:r>
              <w:rPr>
                <w:sz w:val="15"/>
              </w:rPr>
              <w:t>0.907 [0.886, 0.926]</w:t>
            </w:r>
          </w:p>
        </w:tc>
        <w:tc>
          <w:tcPr>
            <w:tcW w:type="dxa" w:w="2340"/>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3640"/>
            <w:tcBorders>
              <w:top w:val="single" w:sz="6" w:space="0" w:color="000000"/>
              <w:bottom w:val="single" w:sz="6" w:space="0" w:color="000000"/>
            </w:tcBorders>
          </w:tcPr>
          <w:p>
            <w:pPr>
              <w:spacing w:after="0" w:line="240" w:lineRule="auto"/>
              <w:jc w:val="left"/>
            </w:pPr>
            <w:r/>
            <w:r>
              <w:rPr>
                <w:b/>
                <w:sz w:val="15"/>
              </w:rPr>
              <w:t>Endpoint – model</w:t>
            </w:r>
          </w:p>
        </w:tc>
        <w:tc>
          <w:tcPr>
            <w:tcW w:type="dxa" w:w="1040"/>
            <w:tcBorders>
              <w:top w:val="single" w:sz="6" w:space="0" w:color="000000"/>
              <w:bottom w:val="single" w:sz="6" w:space="0" w:color="000000"/>
            </w:tcBorders>
          </w:tcPr>
          <w:p>
            <w:pPr>
              <w:spacing w:after="0" w:line="240" w:lineRule="auto"/>
              <w:jc w:val="center"/>
            </w:pPr>
            <w:r/>
            <w:r>
              <w:rPr>
                <w:b/>
                <w:sz w:val="15"/>
              </w:rPr>
              <w:t>Metric</w:t>
            </w:r>
          </w:p>
        </w:tc>
        <w:tc>
          <w:tcPr>
            <w:tcW w:type="dxa" w:w="2600"/>
            <w:tcBorders>
              <w:top w:val="single" w:sz="6" w:space="0" w:color="000000"/>
              <w:bottom w:val="single" w:sz="6" w:space="0" w:color="000000"/>
            </w:tcBorders>
          </w:tcPr>
          <w:p>
            <w:pPr>
              <w:spacing w:after="0" w:line="240" w:lineRule="auto"/>
              <w:jc w:val="center"/>
            </w:pPr>
            <w:r/>
            <w:r>
              <w:rPr>
                <w:b/>
                <w:sz w:val="15"/>
              </w:rPr>
              <w:t>Ensemble [95% CI]</w:t>
            </w:r>
          </w:p>
        </w:tc>
        <w:tc>
          <w:tcPr>
            <w:tcW w:type="dxa" w:w="2080"/>
            <w:tcBorders>
              <w:top w:val="single" w:sz="6" w:space="0" w:color="000000"/>
              <w:bottom w:val="single" w:sz="6" w:space="0" w:color="000000"/>
            </w:tcBorders>
          </w:tcPr>
          <w:p>
            <w:pPr>
              <w:spacing w:after="0" w:line="240" w:lineRule="auto"/>
              <w:jc w:val="center"/>
            </w:pPr>
            <w:r/>
            <w:r>
              <w:rPr>
                <w:b/>
                <w:sz w:val="15"/>
              </w:rPr>
              <w:t>Seed mean ± SD</w:t>
            </w:r>
          </w:p>
        </w:tc>
      </w:tr>
      <w:tr>
        <w:tc>
          <w:tcPr>
            <w:tcW w:type="dxa" w:w="3640"/>
          </w:tcPr>
          <w:p>
            <w:pPr>
              <w:spacing w:after="0" w:line="240" w:lineRule="auto"/>
              <w:jc w:val="left"/>
            </w:pPr>
            <w:r/>
            <w:r>
              <w:rPr>
                <w:sz w:val="15"/>
              </w:rPr>
              <w:t>CL – MFMN-DynGate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0.497 [0.366, 0.602]</w:t>
            </w:r>
          </w:p>
        </w:tc>
        <w:tc>
          <w:tcPr>
            <w:tcW w:type="dxa" w:w="2080"/>
          </w:tcPr>
          <w:p>
            <w:pPr>
              <w:spacing w:after="0" w:line="240" w:lineRule="auto"/>
              <w:jc w:val="center"/>
            </w:pPr>
            <w:r/>
            <w:r>
              <w:rPr>
                <w:sz w:val="15"/>
              </w:rPr>
              <w:t>0.441 ± 0.020</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0.305 [0.265, 0.347]</w:t>
            </w:r>
          </w:p>
        </w:tc>
        <w:tc>
          <w:tcPr>
            <w:tcW w:type="dxa" w:w="2080"/>
          </w:tcPr>
          <w:p>
            <w:pPr>
              <w:spacing w:after="0" w:line="240" w:lineRule="auto"/>
              <w:jc w:val="center"/>
            </w:pPr>
            <w:r/>
            <w:r>
              <w:rPr>
                <w:sz w:val="15"/>
              </w:rPr>
              <w:t>0.324 ± 0.007</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0.412 [0.357, 0.468]</w:t>
            </w:r>
          </w:p>
        </w:tc>
        <w:tc>
          <w:tcPr>
            <w:tcW w:type="dxa" w:w="2080"/>
          </w:tcPr>
          <w:p>
            <w:pPr>
              <w:spacing w:after="0" w:line="240" w:lineRule="auto"/>
              <w:jc w:val="center"/>
            </w:pPr>
            <w:r/>
            <w:r>
              <w:rPr>
                <w:sz w:val="15"/>
              </w:rPr>
              <w:t>0.435 ± 0.008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2.018 [1.841, 2.222]</w:t>
            </w:r>
          </w:p>
        </w:tc>
        <w:tc>
          <w:tcPr>
            <w:tcW w:type="dxa" w:w="2080"/>
          </w:tcPr>
          <w:p>
            <w:pPr>
              <w:spacing w:after="0" w:line="240" w:lineRule="auto"/>
              <w:jc w:val="center"/>
            </w:pPr>
            <w:r/>
            <w:r>
              <w:rPr>
                <w:sz w:val="15"/>
              </w:rPr>
              <w:t>2.109 ± 0.036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0.605 [0.531, 0.678]</w:t>
            </w:r>
          </w:p>
        </w:tc>
        <w:tc>
          <w:tcPr>
            <w:tcW w:type="dxa" w:w="2080"/>
          </w:tcPr>
          <w:p>
            <w:pPr>
              <w:spacing w:after="0" w:line="240" w:lineRule="auto"/>
              <w:jc w:val="center"/>
            </w:pPr>
            <w:r/>
            <w:r>
              <w:rPr>
                <w:sz w:val="15"/>
              </w:rPr>
              <w:t>0.579 ± 0.018</w:t>
            </w:r>
          </w:p>
        </w:tc>
      </w:tr>
      <w:tr>
        <w:tc>
          <w:tcPr>
            <w:tcW w:type="dxa" w:w="3640"/>
          </w:tcPr>
          <w:p>
            <w:pPr>
              <w:spacing w:after="0" w:line="240" w:lineRule="auto"/>
              <w:jc w:val="left"/>
            </w:pPr>
            <w:r/>
            <w:r>
              <w:rPr>
                <w:sz w:val="15"/>
              </w:rPr>
              <w:t>VDss – MFMN-InteractAux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0.648 [0.547, 0.730]</w:t>
            </w:r>
          </w:p>
        </w:tc>
        <w:tc>
          <w:tcPr>
            <w:tcW w:type="dxa" w:w="2080"/>
          </w:tcPr>
          <w:p>
            <w:pPr>
              <w:spacing w:after="0" w:line="240" w:lineRule="auto"/>
              <w:jc w:val="center"/>
            </w:pPr>
            <w:r/>
            <w:r>
              <w:rPr>
                <w:sz w:val="15"/>
              </w:rPr>
              <w:t>0.609 ± 0.029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0.247 [0.216, 0.280]</w:t>
            </w:r>
          </w:p>
        </w:tc>
        <w:tc>
          <w:tcPr>
            <w:tcW w:type="dxa" w:w="2080"/>
          </w:tcPr>
          <w:p>
            <w:pPr>
              <w:spacing w:after="0" w:line="240" w:lineRule="auto"/>
              <w:jc w:val="center"/>
            </w:pPr>
            <w:r/>
            <w:r>
              <w:rPr>
                <w:sz w:val="15"/>
              </w:rPr>
              <w:t>0.259 ± 0.012</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0.328 [0.284, 0.371]</w:t>
            </w:r>
          </w:p>
        </w:tc>
        <w:tc>
          <w:tcPr>
            <w:tcW w:type="dxa" w:w="2080"/>
          </w:tcPr>
          <w:p>
            <w:pPr>
              <w:spacing w:after="0" w:line="240" w:lineRule="auto"/>
              <w:jc w:val="center"/>
            </w:pPr>
            <w:r/>
            <w:r>
              <w:rPr>
                <w:sz w:val="15"/>
              </w:rPr>
              <w:t>0.345 ± 0.013</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1.764 [1.643, 1.904]</w:t>
            </w:r>
          </w:p>
        </w:tc>
        <w:tc>
          <w:tcPr>
            <w:tcW w:type="dxa" w:w="2080"/>
          </w:tcPr>
          <w:p>
            <w:pPr>
              <w:spacing w:after="0" w:line="240" w:lineRule="auto"/>
              <w:jc w:val="center"/>
            </w:pPr>
            <w:r/>
            <w:r>
              <w:rPr>
                <w:sz w:val="15"/>
              </w:rPr>
              <w:t>1.814 ± 0.048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0.684 [0.616, 0.751]</w:t>
            </w:r>
          </w:p>
        </w:tc>
        <w:tc>
          <w:tcPr>
            <w:tcW w:type="dxa" w:w="2080"/>
          </w:tcPr>
          <w:p>
            <w:pPr>
              <w:spacing w:after="0" w:line="240" w:lineRule="auto"/>
              <w:jc w:val="center"/>
            </w:pPr>
            <w:r/>
            <w:r>
              <w:rPr>
                <w:sz w:val="15"/>
              </w:rPr>
              <w:t>0.670 ± 0.028</w:t>
            </w:r>
          </w:p>
        </w:tc>
      </w:tr>
      <w:tr>
        <w:tc>
          <w:tcPr>
            <w:tcW w:type="dxa" w:w="3640"/>
          </w:tcPr>
          <w:p>
            <w:pPr>
              <w:spacing w:after="0" w:line="240" w:lineRule="auto"/>
              <w:jc w:val="left"/>
            </w:pPr>
            <w:r/>
            <w:r>
              <w:rPr>
                <w:sz w:val="15"/>
              </w:rPr>
              <w:t>Fu – MFMN-DynGate + LW (n = 633)</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0.712 [0.671, 0.749]</w:t>
            </w:r>
          </w:p>
        </w:tc>
        <w:tc>
          <w:tcPr>
            <w:tcW w:type="dxa" w:w="2080"/>
          </w:tcPr>
          <w:p>
            <w:pPr>
              <w:spacing w:after="0" w:line="240" w:lineRule="auto"/>
              <w:jc w:val="center"/>
            </w:pPr>
            <w:r/>
            <w:r>
              <w:rPr>
                <w:sz w:val="15"/>
              </w:rPr>
              <w:t>0.681 ± 0.009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0.319 [0.297, 0.343]</w:t>
            </w:r>
          </w:p>
        </w:tc>
        <w:tc>
          <w:tcPr>
            <w:tcW w:type="dxa" w:w="2080"/>
          </w:tcPr>
          <w:p>
            <w:pPr>
              <w:spacing w:after="0" w:line="240" w:lineRule="auto"/>
              <w:jc w:val="center"/>
            </w:pPr>
            <w:r/>
            <w:r>
              <w:rPr>
                <w:sz w:val="15"/>
              </w:rPr>
              <w:t>0.337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0.435 [0.403, 0.468]</w:t>
            </w:r>
          </w:p>
        </w:tc>
        <w:tc>
          <w:tcPr>
            <w:tcW w:type="dxa" w:w="2080"/>
          </w:tcPr>
          <w:p>
            <w:pPr>
              <w:spacing w:after="0" w:line="240" w:lineRule="auto"/>
              <w:jc w:val="center"/>
            </w:pPr>
            <w:r/>
            <w:r>
              <w:rPr>
                <w:sz w:val="15"/>
              </w:rPr>
              <w:t>0.458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2.086 [1.980, 2.203]</w:t>
            </w:r>
          </w:p>
        </w:tc>
        <w:tc>
          <w:tcPr>
            <w:tcW w:type="dxa" w:w="2080"/>
          </w:tcPr>
          <w:p>
            <w:pPr>
              <w:spacing w:after="0" w:line="240" w:lineRule="auto"/>
              <w:jc w:val="center"/>
            </w:pPr>
            <w:r/>
            <w:r>
              <w:rPr>
                <w:sz w:val="15"/>
              </w:rPr>
              <w:t>2.173 ± 0.028</w:t>
            </w:r>
          </w:p>
        </w:tc>
      </w:tr>
      <w:tr>
        <w:tc>
          <w:tcPr>
            <w:tcW w:type="dxa" w:w="3640"/>
            <w:tcBorders>
              <w:bottom w:val="single" w:sz="6" w:space="0" w:color="000000"/>
            </w:tcBorders>
          </w:tcPr>
          <w:p>
            <w:pPr>
              <w:spacing w:after="0" w:line="240" w:lineRule="auto"/>
              <w:jc w:val="left"/>
            </w:pPr>
            <w:r/>
            <w:r>
              <w:rPr>
                <w:sz w:val="15"/>
              </w:rPr>
            </w:r>
          </w:p>
        </w:tc>
        <w:tc>
          <w:tcPr>
            <w:tcW w:type="dxa" w:w="1040"/>
            <w:tcBorders>
              <w:bottom w:val="single" w:sz="6" w:space="0" w:color="000000"/>
            </w:tcBorders>
          </w:tcPr>
          <w:p>
            <w:pPr>
              <w:spacing w:after="0" w:line="240" w:lineRule="auto"/>
              <w:jc w:val="center"/>
            </w:pPr>
            <w:r/>
            <w:r>
              <w:rPr>
                <w:sz w:val="15"/>
              </w:rPr>
              <w:t>W2F</w:t>
            </w:r>
          </w:p>
        </w:tc>
        <w:tc>
          <w:tcPr>
            <w:tcW w:type="dxa" w:w="2600"/>
            <w:tcBorders>
              <w:bottom w:val="single" w:sz="6" w:space="0" w:color="000000"/>
            </w:tcBorders>
          </w:tcPr>
          <w:p>
            <w:pPr>
              <w:spacing w:after="0" w:line="240" w:lineRule="auto"/>
              <w:jc w:val="center"/>
            </w:pPr>
            <w:r/>
            <w:r>
              <w:rPr>
                <w:sz w:val="15"/>
              </w:rPr>
              <w:t>0.613 [0.573, 0.649]</w:t>
            </w:r>
          </w:p>
        </w:tc>
        <w:tc>
          <w:tcPr>
            <w:tcW w:type="dxa" w:w="2080"/>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5" name="Picture 5"/>
            <wp:cNvGraphicFramePr>
              <a:graphicFrameLocks noChangeAspect="1"/>
            </wp:cNvGraphicFramePr>
            <a:graphic>
              <a:graphicData uri="http://schemas.openxmlformats.org/drawingml/2006/picture">
                <pic:pic>
                  <pic:nvPicPr>
                    <pic:cNvPr id="0" name="fig1_parity.png"/>
                    <pic:cNvPicPr/>
                  </pic:nvPicPr>
                  <pic:blipFill>
                    <a:blip r:embed="rId13"/>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20"/>
            <w:tcBorders>
              <w:top w:val="single" w:sz="6" w:space="0" w:color="000000"/>
              <w:bottom w:val="single" w:sz="6" w:space="0" w:color="000000"/>
            </w:tcBorders>
          </w:tcPr>
          <w:p>
            <w:pPr>
              <w:spacing w:after="0" w:line="240" w:lineRule="auto"/>
              <w:jc w:val="left"/>
            </w:pPr>
            <w:r/>
            <w:r>
              <w:rPr>
                <w:b/>
                <w:sz w:val="15"/>
              </w:rPr>
              <w:t>Endpoint</w:t>
            </w:r>
          </w:p>
        </w:tc>
        <w:tc>
          <w:tcPr>
            <w:tcW w:type="dxa" w:w="880"/>
            <w:tcBorders>
              <w:top w:val="single" w:sz="6" w:space="0" w:color="000000"/>
              <w:bottom w:val="single" w:sz="6" w:space="0" w:color="000000"/>
            </w:tcBorders>
          </w:tcPr>
          <w:p>
            <w:pPr>
              <w:spacing w:after="0" w:line="240" w:lineRule="auto"/>
              <w:jc w:val="center"/>
            </w:pPr>
            <w:r/>
            <w:r>
              <w:rPr>
                <w:b/>
                <w:sz w:val="15"/>
              </w:rPr>
              <w:t>Metric</w:t>
            </w:r>
          </w:p>
        </w:tc>
        <w:tc>
          <w:tcPr>
            <w:tcW w:type="dxa" w:w="1120"/>
            <w:tcBorders>
              <w:top w:val="single" w:sz="6" w:space="0" w:color="000000"/>
              <w:bottom w:val="single" w:sz="6" w:space="0" w:color="000000"/>
            </w:tcBorders>
          </w:tcPr>
          <w:p>
            <w:pPr>
              <w:spacing w:after="0" w:line="240" w:lineRule="auto"/>
              <w:jc w:val="center"/>
            </w:pPr>
            <w:r/>
            <w:r>
              <w:rPr>
                <w:b/>
                <w:sz w:val="15"/>
              </w:rPr>
              <w:t>Published</w:t>
            </w:r>
          </w:p>
        </w:tc>
        <w:tc>
          <w:tcPr>
            <w:tcW w:type="dxa" w:w="2320"/>
            <w:tcBorders>
              <w:top w:val="single" w:sz="6" w:space="0" w:color="000000"/>
              <w:bottom w:val="single" w:sz="6" w:space="0" w:color="000000"/>
            </w:tcBorders>
          </w:tcPr>
          <w:p>
            <w:pPr>
              <w:spacing w:after="0" w:line="240" w:lineRule="auto"/>
              <w:jc w:val="center"/>
            </w:pPr>
            <w:r/>
            <w:r>
              <w:rPr>
                <w:b/>
                <w:sz w:val="15"/>
              </w:rPr>
              <w:t>Ensemble [95% CI]</w:t>
            </w:r>
          </w:p>
        </w:tc>
        <w:tc>
          <w:tcPr>
            <w:tcW w:type="dxa" w:w="1360"/>
            <w:tcBorders>
              <w:top w:val="single" w:sz="6" w:space="0" w:color="000000"/>
              <w:bottom w:val="single" w:sz="6" w:space="0" w:color="000000"/>
            </w:tcBorders>
          </w:tcPr>
          <w:p>
            <w:pPr>
              <w:spacing w:after="0" w:line="240" w:lineRule="auto"/>
              <w:jc w:val="center"/>
            </w:pPr>
            <w:r/>
            <w:r>
              <w:rPr>
                <w:b/>
                <w:sz w:val="15"/>
              </w:rPr>
              <w:t>Δ (ens. − pub.)</w:t>
            </w:r>
          </w:p>
        </w:tc>
        <w:tc>
          <w:tcPr>
            <w:tcW w:type="dxa" w:w="1040"/>
            <w:tcBorders>
              <w:top w:val="single" w:sz="6" w:space="0" w:color="000000"/>
              <w:bottom w:val="single" w:sz="6" w:space="0" w:color="000000"/>
            </w:tcBorders>
          </w:tcPr>
          <w:p>
            <w:pPr>
              <w:spacing w:after="0" w:line="240" w:lineRule="auto"/>
              <w:jc w:val="center"/>
            </w:pPr>
            <w:r/>
            <w:r>
              <w:rPr>
                <w:b/>
                <w:sz w:val="15"/>
              </w:rPr>
              <w:t>Pub. in CI</w:t>
            </w:r>
          </w:p>
        </w:tc>
        <w:tc>
          <w:tcPr>
            <w:tcW w:type="dxa" w:w="1120"/>
            <w:tcBorders>
              <w:top w:val="single" w:sz="6" w:space="0" w:color="000000"/>
              <w:bottom w:val="single" w:sz="6" w:space="0" w:color="000000"/>
            </w:tcBorders>
          </w:tcPr>
          <w:p>
            <w:pPr>
              <w:spacing w:after="0" w:line="240" w:lineRule="auto"/>
              <w:jc w:val="center"/>
            </w:pPr>
            <w:r/>
            <w:r>
              <w:rPr>
                <w:b/>
                <w:sz w:val="15"/>
              </w:rPr>
              <w:t>Seed mean</w:t>
            </w:r>
          </w:p>
        </w:tc>
      </w:tr>
      <w:tr>
        <w:tc>
          <w:tcPr>
            <w:tcW w:type="dxa" w:w="1520"/>
          </w:tcPr>
          <w:p>
            <w:pPr>
              <w:spacing w:after="0" w:line="240" w:lineRule="auto"/>
              <w:jc w:val="left"/>
            </w:pPr>
            <w:r/>
            <w:r>
              <w:rPr>
                <w:sz w:val="15"/>
              </w:rPr>
              <w:t>pKa (acidic)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0.94</w:t>
            </w:r>
          </w:p>
        </w:tc>
        <w:tc>
          <w:tcPr>
            <w:tcW w:type="dxa" w:w="2320"/>
          </w:tcPr>
          <w:p>
            <w:pPr>
              <w:spacing w:after="0" w:line="240" w:lineRule="auto"/>
              <w:jc w:val="center"/>
            </w:pPr>
            <w:r/>
            <w:r>
              <w:rPr>
                <w:b/>
                <w:sz w:val="15"/>
              </w:rPr>
              <w:t>0.969 [0.956, 0.979]</w:t>
            </w:r>
          </w:p>
        </w:tc>
        <w:tc>
          <w:tcPr>
            <w:tcW w:type="dxa" w:w="1360"/>
          </w:tcPr>
          <w:p>
            <w:pPr>
              <w:spacing w:after="0" w:line="240" w:lineRule="auto"/>
              <w:jc w:val="center"/>
            </w:pPr>
            <w:r/>
            <w:r>
              <w:rPr>
                <w:sz w:val="15"/>
              </w:rPr>
              <w:t>+0.029</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0.963</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0.61</w:t>
            </w:r>
          </w:p>
        </w:tc>
        <w:tc>
          <w:tcPr>
            <w:tcW w:type="dxa" w:w="2320"/>
          </w:tcPr>
          <w:p>
            <w:pPr>
              <w:spacing w:after="0" w:line="240" w:lineRule="auto"/>
              <w:jc w:val="center"/>
            </w:pPr>
            <w:r/>
            <w:r>
              <w:rPr>
                <w:b/>
                <w:sz w:val="15"/>
              </w:rPr>
              <w:t>0.424 [0.383, 0.471]</w:t>
            </w:r>
          </w:p>
        </w:tc>
        <w:tc>
          <w:tcPr>
            <w:tcW w:type="dxa" w:w="1360"/>
          </w:tcPr>
          <w:p>
            <w:pPr>
              <w:spacing w:after="0" w:line="240" w:lineRule="auto"/>
              <w:jc w:val="center"/>
            </w:pPr>
            <w:r/>
            <w:r>
              <w:rPr>
                <w:sz w:val="15"/>
              </w:rPr>
              <w:t>−0.186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0.484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1.05</w:t>
            </w:r>
          </w:p>
        </w:tc>
        <w:tc>
          <w:tcPr>
            <w:tcW w:type="dxa" w:w="2320"/>
          </w:tcPr>
          <w:p>
            <w:pPr>
              <w:spacing w:after="0" w:line="240" w:lineRule="auto"/>
              <w:jc w:val="center"/>
            </w:pPr>
            <w:r/>
            <w:r>
              <w:rPr>
                <w:b/>
                <w:sz w:val="15"/>
              </w:rPr>
              <w:t>0.757 [0.622, 0.899]</w:t>
            </w:r>
          </w:p>
        </w:tc>
        <w:tc>
          <w:tcPr>
            <w:tcW w:type="dxa" w:w="1360"/>
          </w:tcPr>
          <w:p>
            <w:pPr>
              <w:spacing w:after="0" w:line="240" w:lineRule="auto"/>
              <w:jc w:val="center"/>
            </w:pPr>
            <w:r/>
            <w:r>
              <w:rPr>
                <w:sz w:val="15"/>
              </w:rPr>
              <w:t>−0.293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0.820</w:t>
            </w:r>
          </w:p>
        </w:tc>
      </w:tr>
      <w:tr>
        <w:tc>
          <w:tcPr>
            <w:tcW w:type="dxa" w:w="1520"/>
          </w:tcPr>
          <w:p>
            <w:pPr>
              <w:spacing w:after="0" w:line="240" w:lineRule="auto"/>
              <w:jc w:val="left"/>
            </w:pPr>
            <w:r/>
            <w:r>
              <w:rPr>
                <w:sz w:val="15"/>
              </w:rPr>
              <w:t>pKa (basic)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0.91</w:t>
            </w:r>
          </w:p>
        </w:tc>
        <w:tc>
          <w:tcPr>
            <w:tcW w:type="dxa" w:w="2320"/>
          </w:tcPr>
          <w:p>
            <w:pPr>
              <w:spacing w:after="0" w:line="240" w:lineRule="auto"/>
              <w:jc w:val="center"/>
            </w:pPr>
            <w:r/>
            <w:r>
              <w:rPr>
                <w:b/>
                <w:sz w:val="15"/>
              </w:rPr>
              <w:t>0.950 [0.936, 0.962]</w:t>
            </w:r>
          </w:p>
        </w:tc>
        <w:tc>
          <w:tcPr>
            <w:tcW w:type="dxa" w:w="1360"/>
          </w:tcPr>
          <w:p>
            <w:pPr>
              <w:spacing w:after="0" w:line="240" w:lineRule="auto"/>
              <w:jc w:val="center"/>
            </w:pPr>
            <w:r/>
            <w:r>
              <w:rPr>
                <w:sz w:val="15"/>
              </w:rPr>
              <w:t>+0.040</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0.940</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0.67</w:t>
            </w:r>
          </w:p>
        </w:tc>
        <w:tc>
          <w:tcPr>
            <w:tcW w:type="dxa" w:w="2320"/>
          </w:tcPr>
          <w:p>
            <w:pPr>
              <w:spacing w:after="0" w:line="240" w:lineRule="auto"/>
              <w:jc w:val="center"/>
            </w:pPr>
            <w:r/>
            <w:r>
              <w:rPr>
                <w:b/>
                <w:sz w:val="15"/>
              </w:rPr>
              <w:t>0.406 [0.372, 0.442]</w:t>
            </w:r>
          </w:p>
        </w:tc>
        <w:tc>
          <w:tcPr>
            <w:tcW w:type="dxa" w:w="1360"/>
          </w:tcPr>
          <w:p>
            <w:pPr>
              <w:spacing w:after="0" w:line="240" w:lineRule="auto"/>
              <w:jc w:val="center"/>
            </w:pPr>
            <w:r/>
            <w:r>
              <w:rPr>
                <w:sz w:val="15"/>
              </w:rPr>
              <w:t>−0.264</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0.461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0.98</w:t>
            </w:r>
          </w:p>
        </w:tc>
        <w:tc>
          <w:tcPr>
            <w:tcW w:type="dxa" w:w="2320"/>
          </w:tcPr>
          <w:p>
            <w:pPr>
              <w:spacing w:after="0" w:line="240" w:lineRule="auto"/>
              <w:jc w:val="center"/>
            </w:pPr>
            <w:r/>
            <w:r>
              <w:rPr>
                <w:b/>
                <w:sz w:val="15"/>
              </w:rPr>
              <w:t>0.654 [0.572, 0.743]</w:t>
            </w:r>
          </w:p>
        </w:tc>
        <w:tc>
          <w:tcPr>
            <w:tcW w:type="dxa" w:w="1360"/>
          </w:tcPr>
          <w:p>
            <w:pPr>
              <w:spacing w:after="0" w:line="240" w:lineRule="auto"/>
              <w:jc w:val="center"/>
            </w:pPr>
            <w:r/>
            <w:r>
              <w:rPr>
                <w:sz w:val="15"/>
              </w:rPr>
              <w:t>−0.326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0.720</w:t>
            </w:r>
          </w:p>
        </w:tc>
      </w:tr>
      <w:tr>
        <w:tc>
          <w:tcPr>
            <w:tcW w:type="dxa" w:w="1520"/>
          </w:tcPr>
          <w:p>
            <w:pPr>
              <w:spacing w:after="0" w:line="240" w:lineRule="auto"/>
              <w:jc w:val="left"/>
            </w:pPr>
            <w:r/>
            <w:r>
              <w:rPr>
                <w:sz w:val="15"/>
              </w:rPr>
              <w:t>CL</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0.48</w:t>
            </w:r>
          </w:p>
        </w:tc>
        <w:tc>
          <w:tcPr>
            <w:tcW w:type="dxa" w:w="2320"/>
          </w:tcPr>
          <w:p>
            <w:pPr>
              <w:spacing w:after="0" w:line="240" w:lineRule="auto"/>
              <w:jc w:val="center"/>
            </w:pPr>
            <w:r/>
            <w:r>
              <w:rPr>
                <w:b/>
                <w:sz w:val="15"/>
              </w:rPr>
              <w:t>0.497 [0.366, 0.602]</w:t>
            </w:r>
          </w:p>
        </w:tc>
        <w:tc>
          <w:tcPr>
            <w:tcW w:type="dxa" w:w="1360"/>
          </w:tcPr>
          <w:p>
            <w:pPr>
              <w:spacing w:after="0" w:line="240" w:lineRule="auto"/>
              <w:jc w:val="center"/>
            </w:pPr>
            <w:r/>
            <w:r>
              <w:rPr>
                <w:sz w:val="15"/>
              </w:rPr>
              <w:t>+0.017</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0.441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0.31</w:t>
            </w:r>
          </w:p>
        </w:tc>
        <w:tc>
          <w:tcPr>
            <w:tcW w:type="dxa" w:w="2320"/>
          </w:tcPr>
          <w:p>
            <w:pPr>
              <w:spacing w:after="0" w:line="240" w:lineRule="auto"/>
              <w:jc w:val="center"/>
            </w:pPr>
            <w:r/>
            <w:r>
              <w:rPr>
                <w:b/>
                <w:sz w:val="15"/>
              </w:rPr>
              <w:t>0.305 [0.265, 0.347]</w:t>
            </w:r>
          </w:p>
        </w:tc>
        <w:tc>
          <w:tcPr>
            <w:tcW w:type="dxa" w:w="1360"/>
          </w:tcPr>
          <w:p>
            <w:pPr>
              <w:spacing w:after="0" w:line="240" w:lineRule="auto"/>
              <w:jc w:val="center"/>
            </w:pPr>
            <w:r/>
            <w:r>
              <w:rPr>
                <w:sz w:val="15"/>
              </w:rPr>
              <w:t>−0.005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0.324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0.42</w:t>
            </w:r>
          </w:p>
        </w:tc>
        <w:tc>
          <w:tcPr>
            <w:tcW w:type="dxa" w:w="2320"/>
          </w:tcPr>
          <w:p>
            <w:pPr>
              <w:spacing w:after="0" w:line="240" w:lineRule="auto"/>
              <w:jc w:val="center"/>
            </w:pPr>
            <w:r/>
            <w:r>
              <w:rPr>
                <w:b/>
                <w:sz w:val="15"/>
              </w:rPr>
              <w:t>0.412 [0.357, 0.468]</w:t>
            </w:r>
          </w:p>
        </w:tc>
        <w:tc>
          <w:tcPr>
            <w:tcW w:type="dxa" w:w="1360"/>
          </w:tcPr>
          <w:p>
            <w:pPr>
              <w:spacing w:after="0" w:line="240" w:lineRule="auto"/>
              <w:jc w:val="center"/>
            </w:pPr>
            <w:r/>
            <w:r>
              <w:rPr>
                <w:sz w:val="15"/>
              </w:rPr>
              <w:t>−0.008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0.435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2.00</w:t>
            </w:r>
          </w:p>
        </w:tc>
        <w:tc>
          <w:tcPr>
            <w:tcW w:type="dxa" w:w="2320"/>
          </w:tcPr>
          <w:p>
            <w:pPr>
              <w:spacing w:after="0" w:line="240" w:lineRule="auto"/>
              <w:jc w:val="center"/>
            </w:pPr>
            <w:r/>
            <w:r>
              <w:rPr>
                <w:sz w:val="15"/>
              </w:rPr>
              <w:t>2.018 [1.841, 2.222]</w:t>
            </w:r>
          </w:p>
        </w:tc>
        <w:tc>
          <w:tcPr>
            <w:tcW w:type="dxa" w:w="1360"/>
          </w:tcPr>
          <w:p>
            <w:pPr>
              <w:spacing w:after="0" w:line="240" w:lineRule="auto"/>
              <w:jc w:val="center"/>
            </w:pPr>
            <w:r/>
            <w:r>
              <w:rPr>
                <w:sz w:val="15"/>
              </w:rPr>
              <w:t>+0.018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b/>
                <w:sz w:val="15"/>
              </w:rPr>
              <w:t>0.64</w:t>
            </w:r>
          </w:p>
        </w:tc>
        <w:tc>
          <w:tcPr>
            <w:tcW w:type="dxa" w:w="2320"/>
          </w:tcPr>
          <w:p>
            <w:pPr>
              <w:spacing w:after="0" w:line="240" w:lineRule="auto"/>
              <w:jc w:val="center"/>
            </w:pPr>
            <w:r/>
            <w:r>
              <w:rPr>
                <w:sz w:val="15"/>
              </w:rPr>
              <w:t>0.605 [0.531, 0.678]</w:t>
            </w:r>
          </w:p>
        </w:tc>
        <w:tc>
          <w:tcPr>
            <w:tcW w:type="dxa" w:w="1360"/>
          </w:tcPr>
          <w:p>
            <w:pPr>
              <w:spacing w:after="0" w:line="240" w:lineRule="auto"/>
              <w:jc w:val="center"/>
            </w:pPr>
            <w:r/>
            <w:r>
              <w:rPr>
                <w:sz w:val="15"/>
              </w:rPr>
              <w:t>−0.035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0.579</w:t>
            </w:r>
          </w:p>
        </w:tc>
      </w:tr>
      <w:tr>
        <w:tc>
          <w:tcPr>
            <w:tcW w:type="dxa" w:w="1520"/>
          </w:tcPr>
          <w:p>
            <w:pPr>
              <w:spacing w:after="0" w:line="240" w:lineRule="auto"/>
              <w:jc w:val="left"/>
            </w:pPr>
            <w:r/>
            <w:r>
              <w:rPr>
                <w:sz w:val="15"/>
              </w:rPr>
              <w:t>VDss</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0.60</w:t>
            </w:r>
          </w:p>
        </w:tc>
        <w:tc>
          <w:tcPr>
            <w:tcW w:type="dxa" w:w="2320"/>
          </w:tcPr>
          <w:p>
            <w:pPr>
              <w:spacing w:after="0" w:line="240" w:lineRule="auto"/>
              <w:jc w:val="center"/>
            </w:pPr>
            <w:r/>
            <w:r>
              <w:rPr>
                <w:b/>
                <w:sz w:val="15"/>
              </w:rPr>
              <w:t>0.648 [0.547, 0.730]</w:t>
            </w:r>
          </w:p>
        </w:tc>
        <w:tc>
          <w:tcPr>
            <w:tcW w:type="dxa" w:w="1360"/>
          </w:tcPr>
          <w:p>
            <w:pPr>
              <w:spacing w:after="0" w:line="240" w:lineRule="auto"/>
              <w:jc w:val="center"/>
            </w:pPr>
            <w:r/>
            <w:r>
              <w:rPr>
                <w:sz w:val="15"/>
              </w:rPr>
              <w:t>+0.048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0.28</w:t>
            </w:r>
          </w:p>
        </w:tc>
        <w:tc>
          <w:tcPr>
            <w:tcW w:type="dxa" w:w="2320"/>
          </w:tcPr>
          <w:p>
            <w:pPr>
              <w:spacing w:after="0" w:line="240" w:lineRule="auto"/>
              <w:jc w:val="center"/>
            </w:pPr>
            <w:r/>
            <w:r>
              <w:rPr>
                <w:b/>
                <w:sz w:val="15"/>
              </w:rPr>
              <w:t>0.247 [0.216, 0.280]</w:t>
            </w:r>
          </w:p>
        </w:tc>
        <w:tc>
          <w:tcPr>
            <w:tcW w:type="dxa" w:w="1360"/>
          </w:tcPr>
          <w:p>
            <w:pPr>
              <w:spacing w:after="0" w:line="240" w:lineRule="auto"/>
              <w:jc w:val="center"/>
            </w:pPr>
            <w:r/>
            <w:r>
              <w:rPr>
                <w:sz w:val="15"/>
              </w:rPr>
              <w:t>−0.033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0.259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0.35</w:t>
            </w:r>
          </w:p>
        </w:tc>
        <w:tc>
          <w:tcPr>
            <w:tcW w:type="dxa" w:w="2320"/>
          </w:tcPr>
          <w:p>
            <w:pPr>
              <w:spacing w:after="0" w:line="240" w:lineRule="auto"/>
              <w:jc w:val="center"/>
            </w:pPr>
            <w:r/>
            <w:r>
              <w:rPr>
                <w:b/>
                <w:sz w:val="15"/>
              </w:rPr>
              <w:t>0.328 [0.284, 0.371]</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0.345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sz w:val="15"/>
              </w:rPr>
              <w:t>1.88</w:t>
            </w:r>
          </w:p>
        </w:tc>
        <w:tc>
          <w:tcPr>
            <w:tcW w:type="dxa" w:w="2320"/>
          </w:tcPr>
          <w:p>
            <w:pPr>
              <w:spacing w:after="0" w:line="240" w:lineRule="auto"/>
              <w:jc w:val="center"/>
            </w:pPr>
            <w:r/>
            <w:r>
              <w:rPr>
                <w:b/>
                <w:sz w:val="15"/>
              </w:rPr>
              <w:t>1.764 [1.643, 1.904]</w:t>
            </w:r>
          </w:p>
        </w:tc>
        <w:tc>
          <w:tcPr>
            <w:tcW w:type="dxa" w:w="1360"/>
          </w:tcPr>
          <w:p>
            <w:pPr>
              <w:spacing w:after="0" w:line="240" w:lineRule="auto"/>
              <w:jc w:val="center"/>
            </w:pPr>
            <w:r/>
            <w:r>
              <w:rPr>
                <w:sz w:val="15"/>
              </w:rPr>
              <w:t>−0.116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1.814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sz w:val="15"/>
              </w:rPr>
              <w:t>0.62</w:t>
            </w:r>
          </w:p>
        </w:tc>
        <w:tc>
          <w:tcPr>
            <w:tcW w:type="dxa" w:w="2320"/>
          </w:tcPr>
          <w:p>
            <w:pPr>
              <w:spacing w:after="0" w:line="240" w:lineRule="auto"/>
              <w:jc w:val="center"/>
            </w:pPr>
            <w:r/>
            <w:r>
              <w:rPr>
                <w:b/>
                <w:sz w:val="15"/>
              </w:rPr>
              <w:t>0.684 [0.616, 0.751]</w:t>
            </w:r>
          </w:p>
        </w:tc>
        <w:tc>
          <w:tcPr>
            <w:tcW w:type="dxa" w:w="1360"/>
          </w:tcPr>
          <w:p>
            <w:pPr>
              <w:spacing w:after="0" w:line="240" w:lineRule="auto"/>
              <w:jc w:val="center"/>
            </w:pPr>
            <w:r/>
            <w:r>
              <w:rPr>
                <w:sz w:val="15"/>
              </w:rPr>
              <w:t>+0.064</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0.670</w:t>
            </w:r>
          </w:p>
        </w:tc>
      </w:tr>
      <w:tr>
        <w:tc>
          <w:tcPr>
            <w:tcW w:type="dxa" w:w="1520"/>
          </w:tcPr>
          <w:p>
            <w:pPr>
              <w:spacing w:after="0" w:line="240" w:lineRule="auto"/>
              <w:jc w:val="left"/>
            </w:pPr>
            <w:r/>
            <w:r>
              <w:rPr>
                <w:sz w:val="15"/>
              </w:rPr>
              <w:t>Fu</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0.69</w:t>
            </w:r>
          </w:p>
        </w:tc>
        <w:tc>
          <w:tcPr>
            <w:tcW w:type="dxa" w:w="2320"/>
          </w:tcPr>
          <w:p>
            <w:pPr>
              <w:spacing w:after="0" w:line="240" w:lineRule="auto"/>
              <w:jc w:val="center"/>
            </w:pPr>
            <w:r/>
            <w:r>
              <w:rPr>
                <w:b/>
                <w:sz w:val="15"/>
              </w:rPr>
              <w:t>0.712 [0.671, 0.749]</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0.681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b/>
                <w:sz w:val="15"/>
              </w:rPr>
              <w:t>0.30</w:t>
            </w:r>
          </w:p>
        </w:tc>
        <w:tc>
          <w:tcPr>
            <w:tcW w:type="dxa" w:w="2320"/>
          </w:tcPr>
          <w:p>
            <w:pPr>
              <w:spacing w:after="0" w:line="240" w:lineRule="auto"/>
              <w:jc w:val="center"/>
            </w:pPr>
            <w:r/>
            <w:r>
              <w:rPr>
                <w:sz w:val="15"/>
              </w:rPr>
              <w:t>0.319 [0.297, 0.343]</w:t>
            </w:r>
          </w:p>
        </w:tc>
        <w:tc>
          <w:tcPr>
            <w:tcW w:type="dxa" w:w="1360"/>
          </w:tcPr>
          <w:p>
            <w:pPr>
              <w:spacing w:after="0" w:line="240" w:lineRule="auto"/>
              <w:jc w:val="center"/>
            </w:pPr>
            <w:r/>
            <w:r>
              <w:rPr>
                <w:sz w:val="15"/>
              </w:rPr>
              <w:t>+0.019</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0.337</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b/>
                <w:sz w:val="15"/>
              </w:rPr>
              <w:t>0.41</w:t>
            </w:r>
          </w:p>
        </w:tc>
        <w:tc>
          <w:tcPr>
            <w:tcW w:type="dxa" w:w="2320"/>
          </w:tcPr>
          <w:p>
            <w:pPr>
              <w:spacing w:after="0" w:line="240" w:lineRule="auto"/>
              <w:jc w:val="center"/>
            </w:pPr>
            <w:r/>
            <w:r>
              <w:rPr>
                <w:sz w:val="15"/>
              </w:rPr>
              <w:t>0.435 [0.403, 0.468]</w:t>
            </w:r>
          </w:p>
        </w:tc>
        <w:tc>
          <w:tcPr>
            <w:tcW w:type="dxa" w:w="1360"/>
          </w:tcPr>
          <w:p>
            <w:pPr>
              <w:spacing w:after="0" w:line="240" w:lineRule="auto"/>
              <w:jc w:val="center"/>
            </w:pPr>
            <w:r/>
            <w:r>
              <w:rPr>
                <w:sz w:val="15"/>
              </w:rPr>
              <w:t>+0.025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0.458</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2.01</w:t>
            </w:r>
          </w:p>
        </w:tc>
        <w:tc>
          <w:tcPr>
            <w:tcW w:type="dxa" w:w="2320"/>
          </w:tcPr>
          <w:p>
            <w:pPr>
              <w:spacing w:after="0" w:line="240" w:lineRule="auto"/>
              <w:jc w:val="center"/>
            </w:pPr>
            <w:r/>
            <w:r>
              <w:rPr>
                <w:sz w:val="15"/>
              </w:rPr>
              <w:t>2.086 [1.980, 2.203]</w:t>
            </w:r>
          </w:p>
        </w:tc>
        <w:tc>
          <w:tcPr>
            <w:tcW w:type="dxa" w:w="1360"/>
          </w:tcPr>
          <w:p>
            <w:pPr>
              <w:spacing w:after="0" w:line="240" w:lineRule="auto"/>
              <w:jc w:val="center"/>
            </w:pPr>
            <w:r/>
            <w:r>
              <w:rPr>
                <w:sz w:val="15"/>
              </w:rPr>
              <w:t>+0.076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2.173</w:t>
            </w:r>
          </w:p>
        </w:tc>
      </w:tr>
      <w:tr>
        <w:tc>
          <w:tcPr>
            <w:tcW w:type="dxa" w:w="1520"/>
            <w:tcBorders>
              <w:bottom w:val="single" w:sz="6" w:space="0" w:color="000000"/>
            </w:tcBorders>
          </w:tcPr>
          <w:p>
            <w:pPr>
              <w:spacing w:after="0" w:line="240" w:lineRule="auto"/>
              <w:jc w:val="left"/>
            </w:pPr>
            <w:r/>
            <w:r>
              <w:rPr>
                <w:sz w:val="15"/>
              </w:rPr>
            </w:r>
          </w:p>
        </w:tc>
        <w:tc>
          <w:tcPr>
            <w:tcW w:type="dxa" w:w="880"/>
            <w:tcBorders>
              <w:bottom w:val="single" w:sz="6" w:space="0" w:color="000000"/>
            </w:tcBorders>
          </w:tcPr>
          <w:p>
            <w:pPr>
              <w:spacing w:after="0" w:line="240" w:lineRule="auto"/>
              <w:jc w:val="center"/>
            </w:pPr>
            <w:r/>
            <w:r>
              <w:rPr>
                <w:sz w:val="15"/>
              </w:rPr>
              <w:t>W2F</w:t>
            </w:r>
          </w:p>
        </w:tc>
        <w:tc>
          <w:tcPr>
            <w:tcW w:type="dxa" w:w="1120"/>
            <w:tcBorders>
              <w:bottom w:val="single" w:sz="6" w:space="0" w:color="000000"/>
            </w:tcBorders>
          </w:tcPr>
          <w:p>
            <w:pPr>
              <w:spacing w:after="0" w:line="240" w:lineRule="auto"/>
              <w:jc w:val="center"/>
            </w:pPr>
            <w:r/>
            <w:r>
              <w:rPr>
                <w:sz w:val="15"/>
              </w:rPr>
              <w:t>0.60</w:t>
            </w:r>
          </w:p>
        </w:tc>
        <w:tc>
          <w:tcPr>
            <w:tcW w:type="dxa" w:w="2320"/>
            <w:tcBorders>
              <w:bottom w:val="single" w:sz="6" w:space="0" w:color="000000"/>
            </w:tcBorders>
          </w:tcPr>
          <w:p>
            <w:pPr>
              <w:spacing w:after="0" w:line="240" w:lineRule="auto"/>
              <w:jc w:val="center"/>
            </w:pPr>
            <w:r/>
            <w:r>
              <w:rPr>
                <w:b/>
                <w:sz w:val="15"/>
              </w:rPr>
              <w:t>0.613 [0.573, 0.649]</w:t>
            </w:r>
          </w:p>
        </w:tc>
        <w:tc>
          <w:tcPr>
            <w:tcW w:type="dxa" w:w="1360"/>
            <w:tcBorders>
              <w:bottom w:val="single" w:sz="6" w:space="0" w:color="000000"/>
            </w:tcBorders>
          </w:tcPr>
          <w:p>
            <w:pPr>
              <w:spacing w:after="0" w:line="240" w:lineRule="auto"/>
              <w:jc w:val="center"/>
            </w:pPr>
            <w:r/>
            <w:r>
              <w:rPr>
                <w:sz w:val="15"/>
              </w:rPr>
              <w:t>+0.013</w:t>
            </w:r>
          </w:p>
        </w:tc>
        <w:tc>
          <w:tcPr>
            <w:tcW w:type="dxa" w:w="1040"/>
            <w:tcBorders>
              <w:bottom w:val="single" w:sz="6" w:space="0" w:color="000000"/>
            </w:tcBorders>
          </w:tcPr>
          <w:p>
            <w:pPr>
              <w:spacing w:after="0" w:line="240" w:lineRule="auto"/>
              <w:jc w:val="center"/>
            </w:pPr>
            <w:r/>
            <w:r>
              <w:rPr>
                <w:sz w:val="15"/>
              </w:rPr>
              <w:t>yes</w:t>
            </w:r>
          </w:p>
        </w:tc>
        <w:tc>
          <w:tcPr>
            <w:tcW w:type="dxa" w:w="1120"/>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6" name="Picture 6"/>
            <wp:cNvGraphicFramePr>
              <a:graphicFrameLocks noChangeAspect="1"/>
            </wp:cNvGraphicFramePr>
            <a:graphic>
              <a:graphicData uri="http://schemas.openxmlformats.org/drawingml/2006/picture">
                <pic:pic>
                  <pic:nvPicPr>
                    <pic:cNvPr id="0" name="fig2_vs_paper.png"/>
                    <pic:cNvPicPr/>
                  </pic:nvPicPr>
                  <pic:blipFill>
                    <a:blip r:embed="rId14"/>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702"/>
            <w:tcBorders>
              <w:top w:val="single" w:sz="6" w:space="0" w:color="000000"/>
              <w:bottom w:val="single" w:sz="6" w:space="0" w:color="000000"/>
            </w:tcBorders>
          </w:tcPr>
          <w:p>
            <w:pPr>
              <w:spacing w:after="0" w:line="240" w:lineRule="auto"/>
              <w:jc w:val="left"/>
            </w:pPr>
            <w:r/>
            <w:r>
              <w:rPr>
                <w:b/>
                <w:sz w:val="15"/>
              </w:rPr>
              <w:t>Endpoint</w:t>
            </w:r>
          </w:p>
        </w:tc>
        <w:tc>
          <w:tcPr>
            <w:tcW w:type="dxa" w:w="1021"/>
            <w:tcBorders>
              <w:top w:val="single" w:sz="6" w:space="0" w:color="000000"/>
              <w:bottom w:val="single" w:sz="6" w:space="0" w:color="000000"/>
            </w:tcBorders>
          </w:tcPr>
          <w:p>
            <w:pPr>
              <w:spacing w:after="0" w:line="240" w:lineRule="auto"/>
              <w:jc w:val="center"/>
            </w:pPr>
            <w:r/>
            <w:r>
              <w:rPr>
                <w:b/>
                <w:sz w:val="15"/>
              </w:rPr>
              <w:t>Metric</w:t>
            </w:r>
          </w:p>
        </w:tc>
        <w:tc>
          <w:tcPr>
            <w:tcW w:type="dxa" w:w="1447"/>
            <w:tcBorders>
              <w:top w:val="single" w:sz="6" w:space="0" w:color="000000"/>
              <w:bottom w:val="single" w:sz="6" w:space="0" w:color="000000"/>
            </w:tcBorders>
          </w:tcPr>
          <w:p>
            <w:pPr>
              <w:spacing w:after="0" w:line="240" w:lineRule="auto"/>
              <w:jc w:val="center"/>
            </w:pPr>
            <w:r/>
            <w:r>
              <w:rPr>
                <w:b/>
                <w:sz w:val="15"/>
              </w:rPr>
              <w:t>Benchmark</w:t>
            </w:r>
          </w:p>
        </w:tc>
        <w:tc>
          <w:tcPr>
            <w:tcW w:type="dxa" w:w="1447"/>
            <w:tcBorders>
              <w:top w:val="single" w:sz="6" w:space="0" w:color="000000"/>
              <w:bottom w:val="single" w:sz="6" w:space="0" w:color="000000"/>
            </w:tcBorders>
          </w:tcPr>
          <w:p>
            <w:pPr>
              <w:spacing w:after="0" w:line="240" w:lineRule="auto"/>
              <w:jc w:val="center"/>
            </w:pPr>
            <w:r/>
            <w:r>
              <w:rPr>
                <w:b/>
                <w:sz w:val="15"/>
              </w:rPr>
              <w:t>This work</w:t>
            </w:r>
          </w:p>
        </w:tc>
        <w:tc>
          <w:tcPr>
            <w:tcW w:type="dxa" w:w="1532"/>
            <w:tcBorders>
              <w:top w:val="single" w:sz="6" w:space="0" w:color="000000"/>
              <w:bottom w:val="single" w:sz="6" w:space="0" w:color="000000"/>
            </w:tcBorders>
          </w:tcPr>
          <w:p>
            <w:pPr>
              <w:spacing w:after="0" w:line="240" w:lineRule="auto"/>
              <w:jc w:val="center"/>
            </w:pPr>
            <w:r/>
            <w:r>
              <w:rPr>
                <w:b/>
                <w:sz w:val="15"/>
              </w:rPr>
              <w:t>Difference</w:t>
            </w:r>
          </w:p>
        </w:tc>
        <w:tc>
          <w:tcPr>
            <w:tcW w:type="dxa" w:w="221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702"/>
          </w:tcPr>
          <w:p>
            <w:pPr>
              <w:spacing w:after="0" w:line="240" w:lineRule="auto"/>
              <w:jc w:val="left"/>
            </w:pPr>
            <w:r/>
            <w:r>
              <w:rPr>
                <w:sz w:val="15"/>
              </w:rPr>
              <w:t>pKa (acidic)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0.963</w:t>
            </w:r>
          </w:p>
        </w:tc>
        <w:tc>
          <w:tcPr>
            <w:tcW w:type="dxa" w:w="1447"/>
          </w:tcPr>
          <w:p>
            <w:pPr>
              <w:spacing w:after="0" w:line="240" w:lineRule="auto"/>
              <w:jc w:val="center"/>
            </w:pPr>
            <w:r/>
            <w:r>
              <w:rPr>
                <w:b/>
                <w:sz w:val="15"/>
              </w:rPr>
              <w:t>0.982</w:t>
            </w:r>
          </w:p>
        </w:tc>
        <w:tc>
          <w:tcPr>
            <w:tcW w:type="dxa" w:w="1532"/>
          </w:tcPr>
          <w:p>
            <w:pPr>
              <w:spacing w:after="0" w:line="240" w:lineRule="auto"/>
              <w:jc w:val="center"/>
            </w:pPr>
            <w:r/>
            <w:r>
              <w:rPr>
                <w:sz w:val="15"/>
              </w:rPr>
              <w:t>+0.019†</w:t>
            </w:r>
          </w:p>
        </w:tc>
        <w:tc>
          <w:tcPr>
            <w:tcW w:type="dxa" w:w="2212"/>
          </w:tcPr>
          <w:p>
            <w:pPr>
              <w:spacing w:after="0" w:line="240" w:lineRule="auto"/>
              <w:jc w:val="center"/>
            </w:pPr>
            <w:r/>
            <w:r>
              <w:rPr>
                <w:sz w:val="15"/>
              </w:rPr>
              <w:t>[+0.001,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0.514</w:t>
            </w:r>
          </w:p>
        </w:tc>
        <w:tc>
          <w:tcPr>
            <w:tcW w:type="dxa" w:w="1447"/>
          </w:tcPr>
          <w:p>
            <w:pPr>
              <w:spacing w:after="0" w:line="240" w:lineRule="auto"/>
              <w:jc w:val="center"/>
            </w:pPr>
            <w:r/>
            <w:r>
              <w:rPr>
                <w:b/>
                <w:sz w:val="15"/>
              </w:rPr>
              <w:t>0.354</w:t>
            </w:r>
          </w:p>
        </w:tc>
        <w:tc>
          <w:tcPr>
            <w:tcW w:type="dxa" w:w="1532"/>
          </w:tcPr>
          <w:p>
            <w:pPr>
              <w:spacing w:after="0" w:line="240" w:lineRule="auto"/>
              <w:jc w:val="center"/>
            </w:pPr>
            <w:r/>
            <w:r>
              <w:rPr>
                <w:sz w:val="15"/>
              </w:rPr>
              <w:t>−0.160†</w:t>
            </w:r>
          </w:p>
        </w:tc>
        <w:tc>
          <w:tcPr>
            <w:tcW w:type="dxa" w:w="2212"/>
          </w:tcPr>
          <w:p>
            <w:pPr>
              <w:spacing w:after="0" w:line="240" w:lineRule="auto"/>
              <w:jc w:val="center"/>
            </w:pPr>
            <w:r/>
            <w:r>
              <w:rPr>
                <w:sz w:val="15"/>
              </w:rPr>
              <w:t>[−0.285,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0.798</w:t>
            </w:r>
          </w:p>
        </w:tc>
        <w:tc>
          <w:tcPr>
            <w:tcW w:type="dxa" w:w="1447"/>
          </w:tcPr>
          <w:p>
            <w:pPr>
              <w:spacing w:after="0" w:line="240" w:lineRule="auto"/>
              <w:jc w:val="center"/>
            </w:pPr>
            <w:r/>
            <w:r>
              <w:rPr>
                <w:b/>
                <w:sz w:val="15"/>
              </w:rPr>
              <w:t>0.562</w:t>
            </w:r>
          </w:p>
        </w:tc>
        <w:tc>
          <w:tcPr>
            <w:tcW w:type="dxa" w:w="1532"/>
          </w:tcPr>
          <w:p>
            <w:pPr>
              <w:spacing w:after="0" w:line="240" w:lineRule="auto"/>
              <w:jc w:val="center"/>
            </w:pPr>
            <w:r/>
            <w:r>
              <w:rPr>
                <w:sz w:val="15"/>
              </w:rPr>
              <w:t>−0.236†</w:t>
            </w:r>
          </w:p>
        </w:tc>
        <w:tc>
          <w:tcPr>
            <w:tcW w:type="dxa" w:w="2212"/>
          </w:tcPr>
          <w:p>
            <w:pPr>
              <w:spacing w:after="0" w:line="240" w:lineRule="auto"/>
              <w:jc w:val="center"/>
            </w:pPr>
            <w:r/>
            <w:r>
              <w:rPr>
                <w:sz w:val="15"/>
              </w:rPr>
              <w:t>[−0.454, −0.008]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0.858</w:t>
            </w:r>
          </w:p>
        </w:tc>
        <w:tc>
          <w:tcPr>
            <w:tcW w:type="dxa" w:w="1447"/>
          </w:tcPr>
          <w:p>
            <w:pPr>
              <w:spacing w:after="0" w:line="240" w:lineRule="auto"/>
              <w:jc w:val="center"/>
            </w:pPr>
            <w:r/>
            <w:r>
              <w:rPr>
                <w:b/>
                <w:sz w:val="15"/>
              </w:rPr>
              <w:t>0.934</w:t>
            </w:r>
          </w:p>
        </w:tc>
        <w:tc>
          <w:tcPr>
            <w:tcW w:type="dxa" w:w="1532"/>
          </w:tcPr>
          <w:p>
            <w:pPr>
              <w:spacing w:after="0" w:line="240" w:lineRule="auto"/>
              <w:jc w:val="center"/>
            </w:pPr>
            <w:r/>
            <w:r>
              <w:rPr>
                <w:sz w:val="15"/>
              </w:rPr>
              <w:t>+0.075</w:t>
            </w:r>
          </w:p>
        </w:tc>
        <w:tc>
          <w:tcPr>
            <w:tcW w:type="dxa" w:w="2212"/>
          </w:tcPr>
          <w:p>
            <w:pPr>
              <w:spacing w:after="0" w:line="240" w:lineRule="auto"/>
              <w:jc w:val="center"/>
            </w:pPr>
            <w:r/>
            <w:r>
              <w:rPr>
                <w:sz w:val="15"/>
              </w:rPr>
              <w:t>[+0.000, +0.151]</w:t>
            </w:r>
          </w:p>
        </w:tc>
      </w:tr>
      <w:tr>
        <w:tc>
          <w:tcPr>
            <w:tcW w:type="dxa" w:w="1702"/>
          </w:tcPr>
          <w:p>
            <w:pPr>
              <w:spacing w:after="0" w:line="240" w:lineRule="auto"/>
              <w:jc w:val="left"/>
            </w:pPr>
            <w:r/>
            <w:r>
              <w:rPr>
                <w:sz w:val="15"/>
              </w:rPr>
              <w:t>pKa (basic)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0.902</w:t>
            </w:r>
          </w:p>
        </w:tc>
        <w:tc>
          <w:tcPr>
            <w:tcW w:type="dxa" w:w="1447"/>
          </w:tcPr>
          <w:p>
            <w:pPr>
              <w:spacing w:after="0" w:line="240" w:lineRule="auto"/>
              <w:jc w:val="center"/>
            </w:pPr>
            <w:r/>
            <w:r>
              <w:rPr>
                <w:b/>
                <w:sz w:val="15"/>
              </w:rPr>
              <w:t>0.977</w:t>
            </w:r>
          </w:p>
        </w:tc>
        <w:tc>
          <w:tcPr>
            <w:tcW w:type="dxa" w:w="1532"/>
          </w:tcPr>
          <w:p>
            <w:pPr>
              <w:spacing w:after="0" w:line="240" w:lineRule="auto"/>
              <w:jc w:val="center"/>
            </w:pPr>
            <w:r/>
            <w:r>
              <w:rPr>
                <w:sz w:val="15"/>
              </w:rPr>
              <w:t>+0.076†</w:t>
            </w:r>
          </w:p>
        </w:tc>
        <w:tc>
          <w:tcPr>
            <w:tcW w:type="dxa" w:w="2212"/>
          </w:tcPr>
          <w:p>
            <w:pPr>
              <w:spacing w:after="0" w:line="240" w:lineRule="auto"/>
              <w:jc w:val="center"/>
            </w:pPr>
            <w:r/>
            <w:r>
              <w:rPr>
                <w:sz w:val="15"/>
              </w:rPr>
              <w:t>[+0.033, +0.133]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0.634</w:t>
            </w:r>
          </w:p>
        </w:tc>
        <w:tc>
          <w:tcPr>
            <w:tcW w:type="dxa" w:w="1447"/>
          </w:tcPr>
          <w:p>
            <w:pPr>
              <w:spacing w:after="0" w:line="240" w:lineRule="auto"/>
              <w:jc w:val="center"/>
            </w:pPr>
            <w:r/>
            <w:r>
              <w:rPr>
                <w:b/>
                <w:sz w:val="15"/>
              </w:rPr>
              <w:t>0.314</w:t>
            </w:r>
          </w:p>
        </w:tc>
        <w:tc>
          <w:tcPr>
            <w:tcW w:type="dxa" w:w="1532"/>
          </w:tcPr>
          <w:p>
            <w:pPr>
              <w:spacing w:after="0" w:line="240" w:lineRule="auto"/>
              <w:jc w:val="center"/>
            </w:pPr>
            <w:r/>
            <w:r>
              <w:rPr>
                <w:sz w:val="15"/>
              </w:rPr>
              <w:t>−0.320†</w:t>
            </w:r>
          </w:p>
        </w:tc>
        <w:tc>
          <w:tcPr>
            <w:tcW w:type="dxa" w:w="2212"/>
          </w:tcPr>
          <w:p>
            <w:pPr>
              <w:spacing w:after="0" w:line="240" w:lineRule="auto"/>
              <w:jc w:val="center"/>
            </w:pPr>
            <w:r/>
            <w:r>
              <w:rPr>
                <w:sz w:val="15"/>
              </w:rPr>
              <w:t>[−0.463, −0.194]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0.976</w:t>
            </w:r>
          </w:p>
        </w:tc>
        <w:tc>
          <w:tcPr>
            <w:tcW w:type="dxa" w:w="1447"/>
          </w:tcPr>
          <w:p>
            <w:pPr>
              <w:spacing w:after="0" w:line="240" w:lineRule="auto"/>
              <w:jc w:val="center"/>
            </w:pPr>
            <w:r/>
            <w:r>
              <w:rPr>
                <w:b/>
                <w:sz w:val="15"/>
              </w:rPr>
              <w:t>0.468</w:t>
            </w:r>
          </w:p>
        </w:tc>
        <w:tc>
          <w:tcPr>
            <w:tcW w:type="dxa" w:w="1532"/>
          </w:tcPr>
          <w:p>
            <w:pPr>
              <w:spacing w:after="0" w:line="240" w:lineRule="auto"/>
              <w:jc w:val="center"/>
            </w:pPr>
            <w:r/>
            <w:r>
              <w:rPr>
                <w:sz w:val="15"/>
              </w:rPr>
              <w:t>−0.508†</w:t>
            </w:r>
          </w:p>
        </w:tc>
        <w:tc>
          <w:tcPr>
            <w:tcW w:type="dxa" w:w="2212"/>
          </w:tcPr>
          <w:p>
            <w:pPr>
              <w:spacing w:after="0" w:line="240" w:lineRule="auto"/>
              <w:jc w:val="center"/>
            </w:pPr>
            <w:r/>
            <w:r>
              <w:rPr>
                <w:sz w:val="15"/>
              </w:rPr>
              <w:t>[−0.752, −0.264]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0.849</w:t>
            </w:r>
          </w:p>
        </w:tc>
        <w:tc>
          <w:tcPr>
            <w:tcW w:type="dxa" w:w="1447"/>
          </w:tcPr>
          <w:p>
            <w:pPr>
              <w:spacing w:after="0" w:line="240" w:lineRule="auto"/>
              <w:jc w:val="center"/>
            </w:pPr>
            <w:r/>
            <w:r>
              <w:rPr>
                <w:b/>
                <w:sz w:val="15"/>
              </w:rPr>
              <w:t>0.943</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[+0.028, +0.160]</w:t>
            </w:r>
          </w:p>
        </w:tc>
      </w:tr>
      <w:tr>
        <w:tc>
          <w:tcPr>
            <w:tcW w:type="dxa" w:w="1702"/>
          </w:tcPr>
          <w:p>
            <w:pPr>
              <w:spacing w:after="0" w:line="240" w:lineRule="auto"/>
              <w:jc w:val="left"/>
            </w:pPr>
            <w:r/>
            <w:r>
              <w:rPr>
                <w:sz w:val="15"/>
              </w:rPr>
              <w:t>CL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b/>
                <w:sz w:val="15"/>
              </w:rPr>
              <w:t>0.433</w:t>
            </w:r>
          </w:p>
        </w:tc>
        <w:tc>
          <w:tcPr>
            <w:tcW w:type="dxa" w:w="1447"/>
          </w:tcPr>
          <w:p>
            <w:pPr>
              <w:spacing w:after="0" w:line="240" w:lineRule="auto"/>
              <w:jc w:val="center"/>
            </w:pPr>
            <w:r/>
            <w:r>
              <w:rPr>
                <w:sz w:val="15"/>
              </w:rPr>
              <w:t>0.411</w:t>
            </w:r>
          </w:p>
        </w:tc>
        <w:tc>
          <w:tcPr>
            <w:tcW w:type="dxa" w:w="1532"/>
          </w:tcPr>
          <w:p>
            <w:pPr>
              <w:spacing w:after="0" w:line="240" w:lineRule="auto"/>
              <w:jc w:val="center"/>
            </w:pPr>
            <w:r/>
            <w:r>
              <w:rPr>
                <w:sz w:val="15"/>
              </w:rPr>
              <w:t>−0.022</w:t>
            </w:r>
          </w:p>
        </w:tc>
        <w:tc>
          <w:tcPr>
            <w:tcW w:type="dxa" w:w="2212"/>
          </w:tcPr>
          <w:p>
            <w:pPr>
              <w:spacing w:after="0" w:line="240" w:lineRule="auto"/>
              <w:jc w:val="center"/>
            </w:pPr>
            <w:r/>
            <w:r>
              <w:rPr>
                <w:sz w:val="15"/>
              </w:rPr>
              <w:t>[−0.109, +0.058]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0.294</w:t>
            </w:r>
          </w:p>
        </w:tc>
        <w:tc>
          <w:tcPr>
            <w:tcW w:type="dxa" w:w="1447"/>
          </w:tcPr>
          <w:p>
            <w:pPr>
              <w:spacing w:after="0" w:line="240" w:lineRule="auto"/>
              <w:jc w:val="center"/>
            </w:pPr>
            <w:r/>
            <w:r>
              <w:rPr>
                <w:b/>
                <w:sz w:val="15"/>
              </w:rPr>
              <w:t>0.291</w:t>
            </w:r>
          </w:p>
        </w:tc>
        <w:tc>
          <w:tcPr>
            <w:tcW w:type="dxa" w:w="1532"/>
          </w:tcPr>
          <w:p>
            <w:pPr>
              <w:spacing w:after="0" w:line="240" w:lineRule="auto"/>
              <w:jc w:val="center"/>
            </w:pPr>
            <w:r/>
            <w:r>
              <w:rPr>
                <w:sz w:val="15"/>
              </w:rPr>
              <w:t>−0.004</w:t>
            </w:r>
          </w:p>
        </w:tc>
        <w:tc>
          <w:tcPr>
            <w:tcW w:type="dxa" w:w="2212"/>
          </w:tcPr>
          <w:p>
            <w:pPr>
              <w:spacing w:after="0" w:line="240" w:lineRule="auto"/>
              <w:jc w:val="center"/>
            </w:pPr>
            <w:r/>
            <w:r>
              <w:rPr>
                <w:sz w:val="15"/>
              </w:rPr>
              <w:t>[−0.027, +0.020]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b/>
                <w:sz w:val="15"/>
              </w:rPr>
              <w:t>0.402</w:t>
            </w:r>
          </w:p>
        </w:tc>
        <w:tc>
          <w:tcPr>
            <w:tcW w:type="dxa" w:w="1447"/>
          </w:tcPr>
          <w:p>
            <w:pPr>
              <w:spacing w:after="0" w:line="240" w:lineRule="auto"/>
              <w:jc w:val="center"/>
            </w:pPr>
            <w:r/>
            <w:r>
              <w:rPr>
                <w:sz w:val="15"/>
              </w:rPr>
              <w:t>0.410</w:t>
            </w:r>
          </w:p>
        </w:tc>
        <w:tc>
          <w:tcPr>
            <w:tcW w:type="dxa" w:w="1532"/>
          </w:tcPr>
          <w:p>
            <w:pPr>
              <w:spacing w:after="0" w:line="240" w:lineRule="auto"/>
              <w:jc w:val="center"/>
            </w:pPr>
            <w:r/>
            <w:r>
              <w:rPr>
                <w:sz w:val="15"/>
              </w:rPr>
              <w:t>+0.008</w:t>
            </w:r>
          </w:p>
        </w:tc>
        <w:tc>
          <w:tcPr>
            <w:tcW w:type="dxa" w:w="2212"/>
          </w:tcPr>
          <w:p>
            <w:pPr>
              <w:spacing w:after="0" w:line="240" w:lineRule="auto"/>
              <w:jc w:val="center"/>
            </w:pPr>
            <w:r/>
            <w:r>
              <w:rPr>
                <w:sz w:val="15"/>
              </w:rPr>
              <w:t>[−0.019, +0.037]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1.969</w:t>
            </w:r>
          </w:p>
        </w:tc>
        <w:tc>
          <w:tcPr>
            <w:tcW w:type="dxa" w:w="1447"/>
          </w:tcPr>
          <w:p>
            <w:pPr>
              <w:spacing w:after="0" w:line="240" w:lineRule="auto"/>
              <w:jc w:val="center"/>
            </w:pPr>
            <w:r/>
            <w:r>
              <w:rPr>
                <w:b/>
                <w:sz w:val="15"/>
              </w:rPr>
              <w:t>1.953</w:t>
            </w:r>
          </w:p>
        </w:tc>
        <w:tc>
          <w:tcPr>
            <w:tcW w:type="dxa" w:w="1532"/>
          </w:tcPr>
          <w:p>
            <w:pPr>
              <w:spacing w:after="0" w:line="240" w:lineRule="auto"/>
              <w:jc w:val="center"/>
            </w:pPr>
            <w:r/>
            <w:r>
              <w:rPr>
                <w:sz w:val="15"/>
              </w:rPr>
              <w:t>−0.016</w:t>
            </w:r>
          </w:p>
        </w:tc>
        <w:tc>
          <w:tcPr>
            <w:tcW w:type="dxa" w:w="2212"/>
          </w:tcPr>
          <w:p>
            <w:pPr>
              <w:spacing w:after="0" w:line="240" w:lineRule="auto"/>
              <w:jc w:val="center"/>
            </w:pPr>
            <w:r/>
            <w:r>
              <w:rPr>
                <w:sz w:val="15"/>
              </w:rPr>
              <w:t>[−0.121, +0.093]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b/>
                <w:sz w:val="15"/>
              </w:rPr>
              <w:t>0.642</w:t>
            </w:r>
          </w:p>
        </w:tc>
        <w:tc>
          <w:tcPr>
            <w:tcW w:type="dxa" w:w="1447"/>
          </w:tcPr>
          <w:p>
            <w:pPr>
              <w:spacing w:after="0" w:line="240" w:lineRule="auto"/>
              <w:jc w:val="center"/>
            </w:pPr>
            <w:r/>
            <w:r>
              <w:rPr>
                <w:sz w:val="15"/>
              </w:rPr>
              <w:t>0.613</w:t>
            </w:r>
          </w:p>
        </w:tc>
        <w:tc>
          <w:tcPr>
            <w:tcW w:type="dxa" w:w="1532"/>
          </w:tcPr>
          <w:p>
            <w:pPr>
              <w:spacing w:after="0" w:line="240" w:lineRule="auto"/>
              <w:jc w:val="center"/>
            </w:pPr>
            <w:r/>
            <w:r>
              <w:rPr>
                <w:sz w:val="15"/>
              </w:rPr>
              <w:t>−0.028</w:t>
            </w:r>
          </w:p>
        </w:tc>
        <w:tc>
          <w:tcPr>
            <w:tcW w:type="dxa" w:w="2212"/>
          </w:tcPr>
          <w:p>
            <w:pPr>
              <w:spacing w:after="0" w:line="240" w:lineRule="auto"/>
              <w:jc w:val="center"/>
            </w:pPr>
            <w:r/>
            <w:r>
              <w:rPr>
                <w:sz w:val="15"/>
              </w:rPr>
              <w:t>[−0.104, +0.047]</w:t>
            </w:r>
          </w:p>
        </w:tc>
      </w:tr>
      <w:tr>
        <w:tc>
          <w:tcPr>
            <w:tcW w:type="dxa" w:w="1702"/>
          </w:tcPr>
          <w:p>
            <w:pPr>
              <w:spacing w:after="0" w:line="240" w:lineRule="auto"/>
              <w:jc w:val="left"/>
            </w:pPr>
            <w:r/>
            <w:r>
              <w:rPr>
                <w:sz w:val="15"/>
              </w:rPr>
              <w:t>VDss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0.584</w:t>
            </w:r>
          </w:p>
        </w:tc>
        <w:tc>
          <w:tcPr>
            <w:tcW w:type="dxa" w:w="1447"/>
          </w:tcPr>
          <w:p>
            <w:pPr>
              <w:spacing w:after="0" w:line="240" w:lineRule="auto"/>
              <w:jc w:val="center"/>
            </w:pPr>
            <w:r/>
            <w:r>
              <w:rPr>
                <w:b/>
                <w:sz w:val="15"/>
              </w:rPr>
              <w:t>0.641</w:t>
            </w:r>
          </w:p>
        </w:tc>
        <w:tc>
          <w:tcPr>
            <w:tcW w:type="dxa" w:w="1532"/>
          </w:tcPr>
          <w:p>
            <w:pPr>
              <w:spacing w:after="0" w:line="240" w:lineRule="auto"/>
              <w:jc w:val="center"/>
            </w:pPr>
            <w:r/>
            <w:r>
              <w:rPr>
                <w:sz w:val="15"/>
              </w:rPr>
              <w:t>+0.056</w:t>
            </w:r>
          </w:p>
        </w:tc>
        <w:tc>
          <w:tcPr>
            <w:tcW w:type="dxa" w:w="2212"/>
          </w:tcPr>
          <w:p>
            <w:pPr>
              <w:spacing w:after="0" w:line="240" w:lineRule="auto"/>
              <w:jc w:val="center"/>
            </w:pPr>
            <w:r/>
            <w:r>
              <w:rPr>
                <w:sz w:val="15"/>
              </w:rPr>
              <w:t>[−0.030, +0.140]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0.276</w:t>
            </w:r>
          </w:p>
        </w:tc>
        <w:tc>
          <w:tcPr>
            <w:tcW w:type="dxa" w:w="1447"/>
          </w:tcPr>
          <w:p>
            <w:pPr>
              <w:spacing w:after="0" w:line="240" w:lineRule="auto"/>
              <w:jc w:val="center"/>
            </w:pPr>
            <w:r/>
            <w:r>
              <w:rPr>
                <w:b/>
                <w:sz w:val="15"/>
              </w:rPr>
              <w:t>0.245</w:t>
            </w:r>
          </w:p>
        </w:tc>
        <w:tc>
          <w:tcPr>
            <w:tcW w:type="dxa" w:w="1532"/>
          </w:tcPr>
          <w:p>
            <w:pPr>
              <w:spacing w:after="0" w:line="240" w:lineRule="auto"/>
              <w:jc w:val="center"/>
            </w:pPr>
            <w:r/>
            <w:r>
              <w:rPr>
                <w:sz w:val="15"/>
              </w:rPr>
              <w:t>−0.031</w:t>
            </w:r>
          </w:p>
        </w:tc>
        <w:tc>
          <w:tcPr>
            <w:tcW w:type="dxa" w:w="2212"/>
          </w:tcPr>
          <w:p>
            <w:pPr>
              <w:spacing w:after="0" w:line="240" w:lineRule="auto"/>
              <w:jc w:val="center"/>
            </w:pPr>
            <w:r/>
            <w:r>
              <w:rPr>
                <w:sz w:val="15"/>
              </w:rPr>
              <w:t>[−0.062, +0.001]</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0.353</w:t>
            </w:r>
          </w:p>
        </w:tc>
        <w:tc>
          <w:tcPr>
            <w:tcW w:type="dxa" w:w="1447"/>
          </w:tcPr>
          <w:p>
            <w:pPr>
              <w:spacing w:after="0" w:line="240" w:lineRule="auto"/>
              <w:jc w:val="center"/>
            </w:pPr>
            <w:r/>
            <w:r>
              <w:rPr>
                <w:b/>
                <w:sz w:val="15"/>
              </w:rPr>
              <w:t>0.328</w:t>
            </w:r>
          </w:p>
        </w:tc>
        <w:tc>
          <w:tcPr>
            <w:tcW w:type="dxa" w:w="1532"/>
          </w:tcPr>
          <w:p>
            <w:pPr>
              <w:spacing w:after="0" w:line="240" w:lineRule="auto"/>
              <w:jc w:val="center"/>
            </w:pPr>
            <w:r/>
            <w:r>
              <w:rPr>
                <w:sz w:val="15"/>
              </w:rPr>
              <w:t>−0.025</w:t>
            </w:r>
          </w:p>
        </w:tc>
        <w:tc>
          <w:tcPr>
            <w:tcW w:type="dxa" w:w="2212"/>
          </w:tcPr>
          <w:p>
            <w:pPr>
              <w:spacing w:after="0" w:line="240" w:lineRule="auto"/>
              <w:jc w:val="center"/>
            </w:pPr>
            <w:r/>
            <w:r>
              <w:rPr>
                <w:sz w:val="15"/>
              </w:rPr>
              <w:t>[−0.062, +0.012]</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1.889</w:t>
            </w:r>
          </w:p>
        </w:tc>
        <w:tc>
          <w:tcPr>
            <w:tcW w:type="dxa" w:w="1447"/>
          </w:tcPr>
          <w:p>
            <w:pPr>
              <w:spacing w:after="0" w:line="240" w:lineRule="auto"/>
              <w:jc w:val="center"/>
            </w:pPr>
            <w:r/>
            <w:r>
              <w:rPr>
                <w:b/>
                <w:sz w:val="15"/>
              </w:rPr>
              <w:t>1.759</w:t>
            </w:r>
          </w:p>
        </w:tc>
        <w:tc>
          <w:tcPr>
            <w:tcW w:type="dxa" w:w="1532"/>
          </w:tcPr>
          <w:p>
            <w:pPr>
              <w:spacing w:after="0" w:line="240" w:lineRule="auto"/>
              <w:jc w:val="center"/>
            </w:pPr>
            <w:r/>
            <w:r>
              <w:rPr>
                <w:sz w:val="15"/>
              </w:rPr>
              <w:t>−0.130</w:t>
            </w:r>
          </w:p>
        </w:tc>
        <w:tc>
          <w:tcPr>
            <w:tcW w:type="dxa" w:w="2212"/>
          </w:tcPr>
          <w:p>
            <w:pPr>
              <w:spacing w:after="0" w:line="240" w:lineRule="auto"/>
              <w:jc w:val="center"/>
            </w:pPr>
            <w:r/>
            <w:r>
              <w:rPr>
                <w:sz w:val="15"/>
              </w:rPr>
              <w:t>[−0.263, +0.004]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sz w:val="15"/>
              </w:rPr>
              <w:t>0.604</w:t>
            </w:r>
          </w:p>
        </w:tc>
        <w:tc>
          <w:tcPr>
            <w:tcW w:type="dxa" w:w="1447"/>
          </w:tcPr>
          <w:p>
            <w:pPr>
              <w:spacing w:after="0" w:line="240" w:lineRule="auto"/>
              <w:jc w:val="center"/>
            </w:pPr>
            <w:r/>
            <w:r>
              <w:rPr>
                <w:b/>
                <w:sz w:val="15"/>
              </w:rPr>
              <w:t>0.698</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[+0.000, +0.189]</w:t>
            </w:r>
          </w:p>
        </w:tc>
      </w:tr>
      <w:tr>
        <w:tc>
          <w:tcPr>
            <w:tcW w:type="dxa" w:w="1702"/>
          </w:tcPr>
          <w:p>
            <w:pPr>
              <w:spacing w:after="0" w:line="240" w:lineRule="auto"/>
              <w:jc w:val="left"/>
            </w:pPr>
            <w:r/>
            <w:r>
              <w:rPr>
                <w:sz w:val="15"/>
              </w:rPr>
              <w:t>Fu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0.663</w:t>
            </w:r>
          </w:p>
        </w:tc>
        <w:tc>
          <w:tcPr>
            <w:tcW w:type="dxa" w:w="1447"/>
          </w:tcPr>
          <w:p>
            <w:pPr>
              <w:spacing w:after="0" w:line="240" w:lineRule="auto"/>
              <w:jc w:val="center"/>
            </w:pPr>
            <w:r/>
            <w:r>
              <w:rPr>
                <w:b/>
                <w:sz w:val="15"/>
              </w:rPr>
              <w:t>0.694</w:t>
            </w:r>
          </w:p>
        </w:tc>
        <w:tc>
          <w:tcPr>
            <w:tcW w:type="dxa" w:w="1532"/>
          </w:tcPr>
          <w:p>
            <w:pPr>
              <w:spacing w:after="0" w:line="240" w:lineRule="auto"/>
              <w:jc w:val="center"/>
            </w:pPr>
            <w:r/>
            <w:r>
              <w:rPr>
                <w:sz w:val="15"/>
              </w:rPr>
              <w:t>+0.032</w:t>
            </w:r>
          </w:p>
        </w:tc>
        <w:tc>
          <w:tcPr>
            <w:tcW w:type="dxa" w:w="2212"/>
          </w:tcPr>
          <w:p>
            <w:pPr>
              <w:spacing w:after="0" w:line="240" w:lineRule="auto"/>
              <w:jc w:val="center"/>
            </w:pPr>
            <w:r/>
            <w:r>
              <w:rPr>
                <w:sz w:val="15"/>
              </w:rPr>
              <w:t>[−0.028, +0.087]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0.304</w:t>
            </w:r>
          </w:p>
        </w:tc>
        <w:tc>
          <w:tcPr>
            <w:tcW w:type="dxa" w:w="1447"/>
          </w:tcPr>
          <w:p>
            <w:pPr>
              <w:spacing w:after="0" w:line="240" w:lineRule="auto"/>
              <w:jc w:val="center"/>
            </w:pPr>
            <w:r/>
            <w:r>
              <w:rPr>
                <w:b/>
                <w:sz w:val="15"/>
              </w:rPr>
              <w:t>0.287</w:t>
            </w:r>
          </w:p>
        </w:tc>
        <w:tc>
          <w:tcPr>
            <w:tcW w:type="dxa" w:w="1532"/>
          </w:tcPr>
          <w:p>
            <w:pPr>
              <w:spacing w:after="0" w:line="240" w:lineRule="auto"/>
              <w:jc w:val="center"/>
            </w:pPr>
            <w:r/>
            <w:r>
              <w:rPr>
                <w:sz w:val="15"/>
              </w:rPr>
              <w:t>−0.017</w:t>
            </w:r>
          </w:p>
        </w:tc>
        <w:tc>
          <w:tcPr>
            <w:tcW w:type="dxa" w:w="2212"/>
          </w:tcPr>
          <w:p>
            <w:pPr>
              <w:spacing w:after="0" w:line="240" w:lineRule="auto"/>
              <w:jc w:val="center"/>
            </w:pPr>
            <w:r/>
            <w:r>
              <w:rPr>
                <w:sz w:val="15"/>
              </w:rPr>
              <w:t>[−0.049,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0.410</w:t>
            </w:r>
          </w:p>
        </w:tc>
        <w:tc>
          <w:tcPr>
            <w:tcW w:type="dxa" w:w="1447"/>
          </w:tcPr>
          <w:p>
            <w:pPr>
              <w:spacing w:after="0" w:line="240" w:lineRule="auto"/>
              <w:jc w:val="center"/>
            </w:pPr>
            <w:r/>
            <w:r>
              <w:rPr>
                <w:b/>
                <w:sz w:val="15"/>
              </w:rPr>
              <w:t>0.390</w:t>
            </w:r>
          </w:p>
        </w:tc>
        <w:tc>
          <w:tcPr>
            <w:tcW w:type="dxa" w:w="1532"/>
          </w:tcPr>
          <w:p>
            <w:pPr>
              <w:spacing w:after="0" w:line="240" w:lineRule="auto"/>
              <w:jc w:val="center"/>
            </w:pPr>
            <w:r/>
            <w:r>
              <w:rPr>
                <w:sz w:val="15"/>
              </w:rPr>
              <w:t>−0.020</w:t>
            </w:r>
          </w:p>
        </w:tc>
        <w:tc>
          <w:tcPr>
            <w:tcW w:type="dxa" w:w="2212"/>
          </w:tcPr>
          <w:p>
            <w:pPr>
              <w:spacing w:after="0" w:line="240" w:lineRule="auto"/>
              <w:jc w:val="center"/>
            </w:pPr>
            <w:r/>
            <w:r>
              <w:rPr>
                <w:sz w:val="15"/>
              </w:rPr>
              <w:t>[−0.056,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2.014</w:t>
            </w:r>
          </w:p>
        </w:tc>
        <w:tc>
          <w:tcPr>
            <w:tcW w:type="dxa" w:w="1447"/>
          </w:tcPr>
          <w:p>
            <w:pPr>
              <w:spacing w:after="0" w:line="240" w:lineRule="auto"/>
              <w:jc w:val="center"/>
            </w:pPr>
            <w:r/>
            <w:r>
              <w:rPr>
                <w:b/>
                <w:sz w:val="15"/>
              </w:rPr>
              <w:t>1.937</w:t>
            </w:r>
          </w:p>
        </w:tc>
        <w:tc>
          <w:tcPr>
            <w:tcW w:type="dxa" w:w="1532"/>
          </w:tcPr>
          <w:p>
            <w:pPr>
              <w:spacing w:after="0" w:line="240" w:lineRule="auto"/>
              <w:jc w:val="center"/>
            </w:pPr>
            <w:r/>
            <w:r>
              <w:rPr>
                <w:sz w:val="15"/>
              </w:rPr>
              <w:t>−0.077</w:t>
            </w:r>
          </w:p>
        </w:tc>
        <w:tc>
          <w:tcPr>
            <w:tcW w:type="dxa" w:w="2212"/>
          </w:tcPr>
          <w:p>
            <w:pPr>
              <w:spacing w:after="0" w:line="240" w:lineRule="auto"/>
              <w:jc w:val="center"/>
            </w:pPr>
            <w:r/>
            <w:r>
              <w:rPr>
                <w:sz w:val="15"/>
              </w:rPr>
              <w:t>[−0.227, +0.067]</w:t>
            </w:r>
          </w:p>
        </w:tc>
      </w:tr>
      <w:tr>
        <w:tc>
          <w:tcPr>
            <w:tcW w:type="dxa" w:w="1702"/>
            <w:tcBorders>
              <w:bottom w:val="single" w:sz="6" w:space="0" w:color="000000"/>
            </w:tcBorders>
          </w:tcPr>
          <w:p>
            <w:pPr>
              <w:spacing w:after="0" w:line="240" w:lineRule="auto"/>
              <w:jc w:val="left"/>
            </w:pPr>
            <w:r/>
            <w:r>
              <w:rPr>
                <w:sz w:val="15"/>
              </w:rPr>
            </w:r>
          </w:p>
        </w:tc>
        <w:tc>
          <w:tcPr>
            <w:tcW w:type="dxa" w:w="1021"/>
            <w:tcBorders>
              <w:bottom w:val="single" w:sz="6" w:space="0" w:color="000000"/>
            </w:tcBorders>
          </w:tcPr>
          <w:p>
            <w:pPr>
              <w:spacing w:after="0" w:line="240" w:lineRule="auto"/>
              <w:jc w:val="center"/>
            </w:pPr>
            <w:r/>
            <w:r>
              <w:rPr>
                <w:sz w:val="15"/>
              </w:rPr>
              <w:t>W2F</w:t>
            </w:r>
          </w:p>
        </w:tc>
        <w:tc>
          <w:tcPr>
            <w:tcW w:type="dxa" w:w="1447"/>
            <w:tcBorders>
              <w:bottom w:val="single" w:sz="6" w:space="0" w:color="000000"/>
            </w:tcBorders>
          </w:tcPr>
          <w:p>
            <w:pPr>
              <w:spacing w:after="0" w:line="240" w:lineRule="auto"/>
              <w:jc w:val="center"/>
            </w:pPr>
            <w:r/>
            <w:r>
              <w:rPr>
                <w:sz w:val="15"/>
              </w:rPr>
              <w:t>0.604</w:t>
            </w:r>
          </w:p>
        </w:tc>
        <w:tc>
          <w:tcPr>
            <w:tcW w:type="dxa" w:w="1447"/>
            <w:tcBorders>
              <w:bottom w:val="single" w:sz="6" w:space="0" w:color="000000"/>
            </w:tcBorders>
          </w:tcPr>
          <w:p>
            <w:pPr>
              <w:spacing w:after="0" w:line="240" w:lineRule="auto"/>
              <w:jc w:val="center"/>
            </w:pPr>
            <w:r/>
            <w:r>
              <w:rPr>
                <w:b/>
                <w:sz w:val="15"/>
              </w:rPr>
              <w:t>0.670</w:t>
            </w:r>
          </w:p>
        </w:tc>
        <w:tc>
          <w:tcPr>
            <w:tcW w:type="dxa" w:w="1532"/>
            <w:tcBorders>
              <w:bottom w:val="single" w:sz="6" w:space="0" w:color="000000"/>
            </w:tcBorders>
          </w:tcPr>
          <w:p>
            <w:pPr>
              <w:spacing w:after="0" w:line="240" w:lineRule="auto"/>
              <w:jc w:val="center"/>
            </w:pPr>
            <w:r/>
            <w:r>
              <w:rPr>
                <w:sz w:val="15"/>
              </w:rPr>
              <w:t>+0.066</w:t>
            </w:r>
          </w:p>
        </w:tc>
        <w:tc>
          <w:tcPr>
            <w:tcW w:type="dxa" w:w="221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7" name="Picture 7"/>
            <wp:cNvGraphicFramePr>
              <a:graphicFrameLocks noChangeAspect="1"/>
            </wp:cNvGraphicFramePr>
            <a:graphic>
              <a:graphicData uri="http://schemas.openxmlformats.org/drawingml/2006/picture">
                <pic:pic>
                  <pic:nvPicPr>
                    <pic:cNvPr id="0" name="fig3_paired_vs_jia.png"/>
                    <pic:cNvPicPr/>
                  </pic:nvPicPr>
                  <pic:blipFill>
                    <a:blip r:embed="rId15"/>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2663"/>
            <w:tcBorders>
              <w:top w:val="single" w:sz="6" w:space="0" w:color="000000"/>
              <w:bottom w:val="single" w:sz="6" w:space="0" w:color="000000"/>
            </w:tcBorders>
          </w:tcPr>
          <w:p>
            <w:pPr>
              <w:spacing w:after="0" w:line="240" w:lineRule="auto"/>
              <w:jc w:val="left"/>
            </w:pPr>
            <w:r/>
            <w:r>
              <w:rPr>
                <w:b/>
                <w:sz w:val="15"/>
              </w:rPr>
              <w:t>Endpoint / model</w:t>
            </w:r>
          </w:p>
        </w:tc>
        <w:tc>
          <w:tcPr>
            <w:tcW w:type="dxa" w:w="669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663"/>
          </w:tcPr>
          <w:p>
            <w:pPr>
              <w:spacing w:after="0" w:line="240" w:lineRule="auto"/>
              <w:jc w:val="left"/>
            </w:pPr>
            <w:r/>
            <w:r>
              <w:rPr>
                <w:i/>
                <w:sz w:val="15"/>
              </w:rPr>
              <w:t>pKa (acidic) (n = 776)</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w:t>
            </w:r>
          </w:p>
        </w:tc>
        <w:tc>
          <w:tcPr>
            <w:tcW w:type="dxa" w:w="1674"/>
          </w:tcPr>
          <w:p>
            <w:pPr>
              <w:spacing w:after="0" w:line="240" w:lineRule="auto"/>
              <w:jc w:val="center"/>
            </w:pPr>
            <w:r/>
            <w:r>
              <w:rPr>
                <w:b/>
                <w:sz w:val="15"/>
              </w:rPr>
              <w:t>0.969</w:t>
            </w:r>
          </w:p>
        </w:tc>
        <w:tc>
          <w:tcPr>
            <w:tcW w:type="dxa" w:w="1674"/>
          </w:tcPr>
          <w:p>
            <w:pPr>
              <w:spacing w:after="0" w:line="240" w:lineRule="auto"/>
              <w:jc w:val="center"/>
            </w:pPr>
            <w:r/>
            <w:r>
              <w:rPr>
                <w:b/>
                <w:sz w:val="15"/>
              </w:rPr>
              <w:t>0.424</w:t>
            </w:r>
          </w:p>
        </w:tc>
        <w:tc>
          <w:tcPr>
            <w:tcW w:type="dxa" w:w="1674"/>
          </w:tcPr>
          <w:p>
            <w:pPr>
              <w:spacing w:after="0" w:line="240" w:lineRule="auto"/>
              <w:jc w:val="center"/>
            </w:pPr>
            <w:r/>
            <w:r>
              <w:rPr>
                <w:b/>
                <w:sz w:val="15"/>
              </w:rPr>
              <w:t>0.757</w:t>
            </w:r>
          </w:p>
        </w:tc>
        <w:tc>
          <w:tcPr>
            <w:tcW w:type="dxa" w:w="1674"/>
          </w:tcPr>
          <w:p>
            <w:pPr>
              <w:spacing w:after="0" w:line="240" w:lineRule="auto"/>
              <w:jc w:val="center"/>
            </w:pPr>
            <w:r/>
            <w:r>
              <w:rPr>
                <w:b/>
                <w:sz w:val="15"/>
              </w:rPr>
              <w:t>0.910</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0.927†</w:t>
            </w:r>
          </w:p>
        </w:tc>
        <w:tc>
          <w:tcPr>
            <w:tcW w:type="dxa" w:w="1674"/>
          </w:tcPr>
          <w:p>
            <w:pPr>
              <w:spacing w:after="0" w:line="240" w:lineRule="auto"/>
              <w:jc w:val="center"/>
            </w:pPr>
            <w:r/>
            <w:r>
              <w:rPr>
                <w:sz w:val="15"/>
              </w:rPr>
              <w:t>0.699†</w:t>
            </w:r>
          </w:p>
        </w:tc>
        <w:tc>
          <w:tcPr>
            <w:tcW w:type="dxa" w:w="1674"/>
          </w:tcPr>
          <w:p>
            <w:pPr>
              <w:spacing w:after="0" w:line="240" w:lineRule="auto"/>
              <w:jc w:val="center"/>
            </w:pPr>
            <w:r/>
            <w:r>
              <w:rPr>
                <w:sz w:val="15"/>
              </w:rPr>
              <w:t>1.158†</w:t>
            </w:r>
          </w:p>
        </w:tc>
        <w:tc>
          <w:tcPr>
            <w:tcW w:type="dxa" w:w="1674"/>
          </w:tcPr>
          <w:p>
            <w:pPr>
              <w:spacing w:after="0" w:line="240" w:lineRule="auto"/>
              <w:jc w:val="center"/>
            </w:pPr>
            <w:r/>
            <w:r>
              <w:rPr>
                <w:sz w:val="15"/>
              </w:rPr>
              <w:t>0.777†</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0.919†</w:t>
            </w:r>
          </w:p>
        </w:tc>
        <w:tc>
          <w:tcPr>
            <w:tcW w:type="dxa" w:w="1674"/>
          </w:tcPr>
          <w:p>
            <w:pPr>
              <w:spacing w:after="0" w:line="240" w:lineRule="auto"/>
              <w:jc w:val="center"/>
            </w:pPr>
            <w:r/>
            <w:r>
              <w:rPr>
                <w:sz w:val="15"/>
              </w:rPr>
              <w:t>0.743†</w:t>
            </w:r>
          </w:p>
        </w:tc>
        <w:tc>
          <w:tcPr>
            <w:tcW w:type="dxa" w:w="1674"/>
          </w:tcPr>
          <w:p>
            <w:pPr>
              <w:spacing w:after="0" w:line="240" w:lineRule="auto"/>
              <w:jc w:val="center"/>
            </w:pPr>
            <w:r/>
            <w:r>
              <w:rPr>
                <w:sz w:val="15"/>
              </w:rPr>
              <w:t>1.221†</w:t>
            </w:r>
          </w:p>
        </w:tc>
        <w:tc>
          <w:tcPr>
            <w:tcW w:type="dxa" w:w="1674"/>
          </w:tcPr>
          <w:p>
            <w:pPr>
              <w:spacing w:after="0" w:line="240" w:lineRule="auto"/>
              <w:jc w:val="center"/>
            </w:pPr>
            <w:r/>
            <w:r>
              <w:rPr>
                <w:sz w:val="15"/>
              </w:rPr>
              <w:t>0.781†</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0.770†</w:t>
            </w:r>
          </w:p>
        </w:tc>
        <w:tc>
          <w:tcPr>
            <w:tcW w:type="dxa" w:w="1674"/>
          </w:tcPr>
          <w:p>
            <w:pPr>
              <w:spacing w:after="0" w:line="240" w:lineRule="auto"/>
              <w:jc w:val="center"/>
            </w:pPr>
            <w:r/>
            <w:r>
              <w:rPr>
                <w:sz w:val="15"/>
              </w:rPr>
              <w:t>1.475†</w:t>
            </w:r>
          </w:p>
        </w:tc>
        <w:tc>
          <w:tcPr>
            <w:tcW w:type="dxa" w:w="1674"/>
          </w:tcPr>
          <w:p>
            <w:pPr>
              <w:spacing w:after="0" w:line="240" w:lineRule="auto"/>
              <w:jc w:val="center"/>
            </w:pPr>
            <w:r/>
            <w:r>
              <w:rPr>
                <w:sz w:val="15"/>
              </w:rPr>
              <w:t>2.057†</w:t>
            </w:r>
          </w:p>
        </w:tc>
        <w:tc>
          <w:tcPr>
            <w:tcW w:type="dxa" w:w="1674"/>
          </w:tcPr>
          <w:p>
            <w:pPr>
              <w:spacing w:after="0" w:line="240" w:lineRule="auto"/>
              <w:jc w:val="center"/>
            </w:pPr>
            <w:r/>
            <w:r>
              <w:rPr>
                <w:sz w:val="15"/>
              </w:rPr>
              <w:t>0.499†</w:t>
            </w:r>
          </w:p>
        </w:tc>
      </w:tr>
      <w:tr>
        <w:tc>
          <w:tcPr>
            <w:tcW w:type="dxa" w:w="2663"/>
          </w:tcPr>
          <w:p>
            <w:pPr>
              <w:spacing w:after="0" w:line="240" w:lineRule="auto"/>
              <w:jc w:val="left"/>
            </w:pPr>
            <w:r/>
            <w:r>
              <w:rPr>
                <w:i/>
                <w:sz w:val="15"/>
              </w:rPr>
              <w:t>pKa (basic) (n = 815)</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 (no site readout)</w:t>
            </w:r>
          </w:p>
        </w:tc>
        <w:tc>
          <w:tcPr>
            <w:tcW w:type="dxa" w:w="1674"/>
          </w:tcPr>
          <w:p>
            <w:pPr>
              <w:spacing w:after="0" w:line="240" w:lineRule="auto"/>
              <w:jc w:val="center"/>
            </w:pPr>
            <w:r/>
            <w:r>
              <w:rPr>
                <w:b/>
                <w:sz w:val="15"/>
              </w:rPr>
              <w:t>0.950</w:t>
            </w:r>
          </w:p>
        </w:tc>
        <w:tc>
          <w:tcPr>
            <w:tcW w:type="dxa" w:w="1674"/>
          </w:tcPr>
          <w:p>
            <w:pPr>
              <w:spacing w:after="0" w:line="240" w:lineRule="auto"/>
              <w:jc w:val="center"/>
            </w:pPr>
            <w:r/>
            <w:r>
              <w:rPr>
                <w:b/>
                <w:sz w:val="15"/>
              </w:rPr>
              <w:t>0.406</w:t>
            </w:r>
          </w:p>
        </w:tc>
        <w:tc>
          <w:tcPr>
            <w:tcW w:type="dxa" w:w="1674"/>
          </w:tcPr>
          <w:p>
            <w:pPr>
              <w:spacing w:after="0" w:line="240" w:lineRule="auto"/>
              <w:jc w:val="center"/>
            </w:pPr>
            <w:r/>
            <w:r>
              <w:rPr>
                <w:b/>
                <w:sz w:val="15"/>
              </w:rPr>
              <w:t>0.654</w:t>
            </w:r>
          </w:p>
        </w:tc>
        <w:tc>
          <w:tcPr>
            <w:tcW w:type="dxa" w:w="1674"/>
          </w:tcPr>
          <w:p>
            <w:pPr>
              <w:spacing w:after="0" w:line="240" w:lineRule="auto"/>
              <w:jc w:val="center"/>
            </w:pPr>
            <w:r/>
            <w:r>
              <w:rPr>
                <w:b/>
                <w:sz w:val="15"/>
              </w:rPr>
              <w:t>0.907</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0.862†</w:t>
            </w:r>
          </w:p>
        </w:tc>
        <w:tc>
          <w:tcPr>
            <w:tcW w:type="dxa" w:w="1674"/>
          </w:tcPr>
          <w:p>
            <w:pPr>
              <w:spacing w:after="0" w:line="240" w:lineRule="auto"/>
              <w:jc w:val="center"/>
            </w:pPr>
            <w:r/>
            <w:r>
              <w:rPr>
                <w:sz w:val="15"/>
              </w:rPr>
              <w:t>0.758†</w:t>
            </w:r>
          </w:p>
        </w:tc>
        <w:tc>
          <w:tcPr>
            <w:tcW w:type="dxa" w:w="1674"/>
          </w:tcPr>
          <w:p>
            <w:pPr>
              <w:spacing w:after="0" w:line="240" w:lineRule="auto"/>
              <w:jc w:val="center"/>
            </w:pPr>
            <w:r/>
            <w:r>
              <w:rPr>
                <w:sz w:val="15"/>
              </w:rPr>
              <w:t>1.089†</w:t>
            </w:r>
          </w:p>
        </w:tc>
        <w:tc>
          <w:tcPr>
            <w:tcW w:type="dxa" w:w="1674"/>
          </w:tcPr>
          <w:p>
            <w:pPr>
              <w:spacing w:after="0" w:line="240" w:lineRule="auto"/>
              <w:jc w:val="center"/>
            </w:pPr>
            <w:r/>
            <w:r>
              <w:rPr>
                <w:sz w:val="15"/>
              </w:rPr>
              <w:t>0.746†</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0.881†</w:t>
            </w:r>
          </w:p>
        </w:tc>
        <w:tc>
          <w:tcPr>
            <w:tcW w:type="dxa" w:w="1674"/>
          </w:tcPr>
          <w:p>
            <w:pPr>
              <w:spacing w:after="0" w:line="240" w:lineRule="auto"/>
              <w:jc w:val="center"/>
            </w:pPr>
            <w:r/>
            <w:r>
              <w:rPr>
                <w:sz w:val="15"/>
              </w:rPr>
              <w:t>0.701†</w:t>
            </w:r>
          </w:p>
        </w:tc>
        <w:tc>
          <w:tcPr>
            <w:tcW w:type="dxa" w:w="1674"/>
          </w:tcPr>
          <w:p>
            <w:pPr>
              <w:spacing w:after="0" w:line="240" w:lineRule="auto"/>
              <w:jc w:val="center"/>
            </w:pPr>
            <w:r/>
            <w:r>
              <w:rPr>
                <w:sz w:val="15"/>
              </w:rPr>
              <w:t>1.012†</w:t>
            </w:r>
          </w:p>
        </w:tc>
        <w:tc>
          <w:tcPr>
            <w:tcW w:type="dxa" w:w="1674"/>
          </w:tcPr>
          <w:p>
            <w:pPr>
              <w:spacing w:after="0" w:line="240" w:lineRule="auto"/>
              <w:jc w:val="center"/>
            </w:pPr>
            <w:r/>
            <w:r>
              <w:rPr>
                <w:sz w:val="15"/>
              </w:rPr>
              <w:t>0.756†</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0.723†</w:t>
            </w:r>
          </w:p>
        </w:tc>
        <w:tc>
          <w:tcPr>
            <w:tcW w:type="dxa" w:w="1674"/>
          </w:tcPr>
          <w:p>
            <w:pPr>
              <w:spacing w:after="0" w:line="240" w:lineRule="auto"/>
              <w:jc w:val="center"/>
            </w:pPr>
            <w:r/>
            <w:r>
              <w:rPr>
                <w:sz w:val="15"/>
              </w:rPr>
              <w:t>1.067†</w:t>
            </w:r>
          </w:p>
        </w:tc>
        <w:tc>
          <w:tcPr>
            <w:tcW w:type="dxa" w:w="1674"/>
          </w:tcPr>
          <w:p>
            <w:pPr>
              <w:spacing w:after="0" w:line="240" w:lineRule="auto"/>
              <w:jc w:val="center"/>
            </w:pPr>
            <w:r/>
            <w:r>
              <w:rPr>
                <w:sz w:val="15"/>
              </w:rPr>
              <w:t>1.546†</w:t>
            </w:r>
          </w:p>
        </w:tc>
        <w:tc>
          <w:tcPr>
            <w:tcW w:type="dxa" w:w="1674"/>
          </w:tcPr>
          <w:p>
            <w:pPr>
              <w:spacing w:after="0" w:line="240" w:lineRule="auto"/>
              <w:jc w:val="center"/>
            </w:pPr>
            <w:r/>
            <w:r>
              <w:rPr>
                <w:sz w:val="15"/>
              </w:rPr>
              <w:t>0.634†</w:t>
            </w:r>
          </w:p>
        </w:tc>
      </w:tr>
      <w:tr>
        <w:tc>
          <w:tcPr>
            <w:tcW w:type="dxa" w:w="2663"/>
          </w:tcPr>
          <w:p>
            <w:pPr>
              <w:spacing w:after="0" w:line="240" w:lineRule="auto"/>
              <w:jc w:val="left"/>
            </w:pPr>
            <w:r/>
            <w:r>
              <w:rPr>
                <w:i/>
                <w:sz w:val="15"/>
              </w:rPr>
              <w:t>CL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w:t>
            </w:r>
          </w:p>
        </w:tc>
        <w:tc>
          <w:tcPr>
            <w:tcW w:type="dxa" w:w="1674"/>
          </w:tcPr>
          <w:p>
            <w:pPr>
              <w:spacing w:after="0" w:line="240" w:lineRule="auto"/>
              <w:jc w:val="center"/>
            </w:pPr>
            <w:r/>
            <w:r>
              <w:rPr>
                <w:b/>
                <w:sz w:val="15"/>
              </w:rPr>
              <w:t>0.497</w:t>
            </w:r>
          </w:p>
        </w:tc>
        <w:tc>
          <w:tcPr>
            <w:tcW w:type="dxa" w:w="1674"/>
          </w:tcPr>
          <w:p>
            <w:pPr>
              <w:spacing w:after="0" w:line="240" w:lineRule="auto"/>
              <w:jc w:val="center"/>
            </w:pPr>
            <w:r/>
            <w:r>
              <w:rPr>
                <w:sz w:val="15"/>
              </w:rPr>
              <w:t>0.305</w:t>
            </w:r>
          </w:p>
        </w:tc>
        <w:tc>
          <w:tcPr>
            <w:tcW w:type="dxa" w:w="1674"/>
          </w:tcPr>
          <w:p>
            <w:pPr>
              <w:spacing w:after="0" w:line="240" w:lineRule="auto"/>
              <w:jc w:val="center"/>
            </w:pPr>
            <w:r/>
            <w:r>
              <w:rPr>
                <w:sz w:val="15"/>
              </w:rPr>
              <w:t>2.018</w:t>
            </w:r>
          </w:p>
        </w:tc>
        <w:tc>
          <w:tcPr>
            <w:tcW w:type="dxa" w:w="1674"/>
          </w:tcPr>
          <w:p>
            <w:pPr>
              <w:spacing w:after="0" w:line="240" w:lineRule="auto"/>
              <w:jc w:val="center"/>
            </w:pPr>
            <w:r/>
            <w:r>
              <w:rPr>
                <w:sz w:val="15"/>
              </w:rPr>
              <w:t>0.605</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0.484</w:t>
            </w:r>
          </w:p>
        </w:tc>
        <w:tc>
          <w:tcPr>
            <w:tcW w:type="dxa" w:w="1674"/>
          </w:tcPr>
          <w:p>
            <w:pPr>
              <w:spacing w:after="0" w:line="240" w:lineRule="auto"/>
              <w:jc w:val="center"/>
            </w:pPr>
            <w:r/>
            <w:r>
              <w:rPr>
                <w:b/>
                <w:sz w:val="15"/>
              </w:rPr>
              <w:t>0.303</w:t>
            </w:r>
          </w:p>
        </w:tc>
        <w:tc>
          <w:tcPr>
            <w:tcW w:type="dxa" w:w="1674"/>
          </w:tcPr>
          <w:p>
            <w:pPr>
              <w:spacing w:after="0" w:line="240" w:lineRule="auto"/>
              <w:jc w:val="center"/>
            </w:pPr>
            <w:r/>
            <w:r>
              <w:rPr>
                <w:b/>
                <w:sz w:val="15"/>
              </w:rPr>
              <w:t>2.010</w:t>
            </w:r>
          </w:p>
        </w:tc>
        <w:tc>
          <w:tcPr>
            <w:tcW w:type="dxa" w:w="1674"/>
          </w:tcPr>
          <w:p>
            <w:pPr>
              <w:spacing w:after="0" w:line="240" w:lineRule="auto"/>
              <w:jc w:val="center"/>
            </w:pPr>
            <w:r/>
            <w:r>
              <w:rPr>
                <w:b/>
                <w:sz w:val="15"/>
              </w:rPr>
              <w:t>0.638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0.374†</w:t>
            </w:r>
          </w:p>
        </w:tc>
        <w:tc>
          <w:tcPr>
            <w:tcW w:type="dxa" w:w="1674"/>
          </w:tcPr>
          <w:p>
            <w:pPr>
              <w:spacing w:after="0" w:line="240" w:lineRule="auto"/>
              <w:jc w:val="center"/>
            </w:pPr>
            <w:r/>
            <w:r>
              <w:rPr>
                <w:sz w:val="15"/>
              </w:rPr>
              <w:t>0.355†</w:t>
            </w:r>
          </w:p>
        </w:tc>
        <w:tc>
          <w:tcPr>
            <w:tcW w:type="dxa" w:w="1674"/>
          </w:tcPr>
          <w:p>
            <w:pPr>
              <w:spacing w:after="0" w:line="240" w:lineRule="auto"/>
              <w:jc w:val="center"/>
            </w:pPr>
            <w:r/>
            <w:r>
              <w:rPr>
                <w:sz w:val="15"/>
              </w:rPr>
              <w:t>2.266†</w:t>
            </w:r>
          </w:p>
        </w:tc>
        <w:tc>
          <w:tcPr>
            <w:tcW w:type="dxa" w:w="1674"/>
          </w:tcPr>
          <w:p>
            <w:pPr>
              <w:spacing w:after="0" w:line="240" w:lineRule="auto"/>
              <w:jc w:val="center"/>
            </w:pPr>
            <w:r/>
            <w:r>
              <w:rPr>
                <w:sz w:val="15"/>
              </w:rPr>
              <w:t>0.497†</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0.310</w:t>
            </w:r>
          </w:p>
        </w:tc>
        <w:tc>
          <w:tcPr>
            <w:tcW w:type="dxa" w:w="1674"/>
          </w:tcPr>
          <w:p>
            <w:pPr>
              <w:spacing w:after="0" w:line="240" w:lineRule="auto"/>
              <w:jc w:val="center"/>
            </w:pPr>
            <w:r/>
            <w:r>
              <w:rPr>
                <w:sz w:val="15"/>
              </w:rPr>
              <w:t>2.042</w:t>
            </w:r>
          </w:p>
        </w:tc>
        <w:tc>
          <w:tcPr>
            <w:tcW w:type="dxa" w:w="1674"/>
          </w:tcPr>
          <w:p>
            <w:pPr>
              <w:spacing w:after="0" w:line="240" w:lineRule="auto"/>
              <w:jc w:val="center"/>
            </w:pPr>
            <w:r/>
            <w:r>
              <w:rPr>
                <w:sz w:val="15"/>
              </w:rPr>
              <w:t>0.627</w:t>
            </w:r>
          </w:p>
        </w:tc>
      </w:tr>
      <w:tr>
        <w:tc>
          <w:tcPr>
            <w:tcW w:type="dxa" w:w="2663"/>
          </w:tcPr>
          <w:p>
            <w:pPr>
              <w:spacing w:after="0" w:line="240" w:lineRule="auto"/>
              <w:jc w:val="left"/>
            </w:pPr>
            <w:r/>
            <w:r>
              <w:rPr>
                <w:i/>
                <w:sz w:val="15"/>
              </w:rPr>
              <w:t>VDss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MFMN-InteractAux</w:t>
            </w:r>
          </w:p>
        </w:tc>
        <w:tc>
          <w:tcPr>
            <w:tcW w:type="dxa" w:w="1674"/>
          </w:tcPr>
          <w:p>
            <w:pPr>
              <w:spacing w:after="0" w:line="240" w:lineRule="auto"/>
              <w:jc w:val="center"/>
            </w:pPr>
            <w:r/>
            <w:r>
              <w:rPr>
                <w:b/>
                <w:sz w:val="15"/>
              </w:rPr>
              <w:t>0.648</w:t>
            </w:r>
          </w:p>
        </w:tc>
        <w:tc>
          <w:tcPr>
            <w:tcW w:type="dxa" w:w="1674"/>
          </w:tcPr>
          <w:p>
            <w:pPr>
              <w:spacing w:after="0" w:line="240" w:lineRule="auto"/>
              <w:jc w:val="center"/>
            </w:pPr>
            <w:r/>
            <w:r>
              <w:rPr>
                <w:b/>
                <w:sz w:val="15"/>
              </w:rPr>
              <w:t>0.247</w:t>
            </w:r>
          </w:p>
        </w:tc>
        <w:tc>
          <w:tcPr>
            <w:tcW w:type="dxa" w:w="1674"/>
          </w:tcPr>
          <w:p>
            <w:pPr>
              <w:spacing w:after="0" w:line="240" w:lineRule="auto"/>
              <w:jc w:val="center"/>
            </w:pPr>
            <w:r/>
            <w:r>
              <w:rPr>
                <w:b/>
                <w:sz w:val="15"/>
              </w:rPr>
              <w:t>1.764</w:t>
            </w:r>
          </w:p>
        </w:tc>
        <w:tc>
          <w:tcPr>
            <w:tcW w:type="dxa" w:w="1674"/>
          </w:tcPr>
          <w:p>
            <w:pPr>
              <w:spacing w:after="0" w:line="240" w:lineRule="auto"/>
              <w:jc w:val="center"/>
            </w:pPr>
            <w:r/>
            <w:r>
              <w:rPr>
                <w:b/>
                <w:sz w:val="15"/>
              </w:rPr>
              <w:t>0.684</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0.609</w:t>
            </w:r>
          </w:p>
        </w:tc>
        <w:tc>
          <w:tcPr>
            <w:tcW w:type="dxa" w:w="1674"/>
          </w:tcPr>
          <w:p>
            <w:pPr>
              <w:spacing w:after="0" w:line="240" w:lineRule="auto"/>
              <w:jc w:val="center"/>
            </w:pPr>
            <w:r/>
            <w:r>
              <w:rPr>
                <w:sz w:val="15"/>
              </w:rPr>
              <w:t>0.267</w:t>
            </w:r>
          </w:p>
        </w:tc>
        <w:tc>
          <w:tcPr>
            <w:tcW w:type="dxa" w:w="1674"/>
          </w:tcPr>
          <w:p>
            <w:pPr>
              <w:spacing w:after="0" w:line="240" w:lineRule="auto"/>
              <w:jc w:val="center"/>
            </w:pPr>
            <w:r/>
            <w:r>
              <w:rPr>
                <w:sz w:val="15"/>
              </w:rPr>
              <w:t>1.848</w:t>
            </w:r>
          </w:p>
        </w:tc>
        <w:tc>
          <w:tcPr>
            <w:tcW w:type="dxa" w:w="1674"/>
          </w:tcPr>
          <w:p>
            <w:pPr>
              <w:spacing w:after="0" w:line="240" w:lineRule="auto"/>
              <w:jc w:val="center"/>
            </w:pPr>
            <w:r/>
            <w:r>
              <w:rPr>
                <w:sz w:val="15"/>
              </w:rPr>
              <w:t>0.661</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0.307†</w:t>
            </w:r>
          </w:p>
        </w:tc>
        <w:tc>
          <w:tcPr>
            <w:tcW w:type="dxa" w:w="1674"/>
          </w:tcPr>
          <w:p>
            <w:pPr>
              <w:spacing w:after="0" w:line="240" w:lineRule="auto"/>
              <w:jc w:val="center"/>
            </w:pPr>
            <w:r/>
            <w:r>
              <w:rPr>
                <w:sz w:val="15"/>
              </w:rPr>
              <w:t>2.026†</w:t>
            </w:r>
          </w:p>
        </w:tc>
        <w:tc>
          <w:tcPr>
            <w:tcW w:type="dxa" w:w="1674"/>
          </w:tcPr>
          <w:p>
            <w:pPr>
              <w:spacing w:after="0" w:line="240" w:lineRule="auto"/>
              <w:jc w:val="center"/>
            </w:pPr>
            <w:r/>
            <w:r>
              <w:rPr>
                <w:sz w:val="15"/>
              </w:rPr>
              <w:t>0.588†</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0.542†</w:t>
            </w:r>
          </w:p>
        </w:tc>
        <w:tc>
          <w:tcPr>
            <w:tcW w:type="dxa" w:w="1674"/>
          </w:tcPr>
          <w:p>
            <w:pPr>
              <w:spacing w:after="0" w:line="240" w:lineRule="auto"/>
              <w:jc w:val="center"/>
            </w:pPr>
            <w:r/>
            <w:r>
              <w:rPr>
                <w:sz w:val="15"/>
              </w:rPr>
              <w:t>0.283†</w:t>
            </w:r>
          </w:p>
        </w:tc>
        <w:tc>
          <w:tcPr>
            <w:tcW w:type="dxa" w:w="1674"/>
          </w:tcPr>
          <w:p>
            <w:pPr>
              <w:spacing w:after="0" w:line="240" w:lineRule="auto"/>
              <w:jc w:val="center"/>
            </w:pPr>
            <w:r/>
            <w:r>
              <w:rPr>
                <w:sz w:val="15"/>
              </w:rPr>
              <w:t>1.919†</w:t>
            </w:r>
          </w:p>
        </w:tc>
        <w:tc>
          <w:tcPr>
            <w:tcW w:type="dxa" w:w="1674"/>
          </w:tcPr>
          <w:p>
            <w:pPr>
              <w:spacing w:after="0" w:line="240" w:lineRule="auto"/>
              <w:jc w:val="center"/>
            </w:pPr>
            <w:r/>
            <w:r>
              <w:rPr>
                <w:sz w:val="15"/>
              </w:rPr>
              <w:t>0.610†</w:t>
            </w:r>
          </w:p>
        </w:tc>
      </w:tr>
      <w:tr>
        <w:tc>
          <w:tcPr>
            <w:tcW w:type="dxa" w:w="2663"/>
          </w:tcPr>
          <w:p>
            <w:pPr>
              <w:spacing w:after="0" w:line="240" w:lineRule="auto"/>
              <w:jc w:val="left"/>
            </w:pPr>
            <w:r/>
            <w:r>
              <w:rPr>
                <w:i/>
                <w:sz w:val="15"/>
              </w:rPr>
              <w:t>Fu (n = 633)</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 + LW</w:t>
            </w:r>
          </w:p>
        </w:tc>
        <w:tc>
          <w:tcPr>
            <w:tcW w:type="dxa" w:w="1674"/>
          </w:tcPr>
          <w:p>
            <w:pPr>
              <w:spacing w:after="0" w:line="240" w:lineRule="auto"/>
              <w:jc w:val="center"/>
            </w:pPr>
            <w:r/>
            <w:r>
              <w:rPr>
                <w:b/>
                <w:sz w:val="15"/>
              </w:rPr>
              <w:t>0.712</w:t>
            </w:r>
          </w:p>
        </w:tc>
        <w:tc>
          <w:tcPr>
            <w:tcW w:type="dxa" w:w="1674"/>
          </w:tcPr>
          <w:p>
            <w:pPr>
              <w:spacing w:after="0" w:line="240" w:lineRule="auto"/>
              <w:jc w:val="center"/>
            </w:pPr>
            <w:r/>
            <w:r>
              <w:rPr>
                <w:b/>
                <w:sz w:val="15"/>
              </w:rPr>
              <w:t>0.319</w:t>
            </w:r>
          </w:p>
        </w:tc>
        <w:tc>
          <w:tcPr>
            <w:tcW w:type="dxa" w:w="1674"/>
          </w:tcPr>
          <w:p>
            <w:pPr>
              <w:spacing w:after="0" w:line="240" w:lineRule="auto"/>
              <w:jc w:val="center"/>
            </w:pPr>
            <w:r/>
            <w:r>
              <w:rPr>
                <w:b/>
                <w:sz w:val="15"/>
              </w:rPr>
              <w:t>2.086</w:t>
            </w:r>
          </w:p>
        </w:tc>
        <w:tc>
          <w:tcPr>
            <w:tcW w:type="dxa" w:w="1674"/>
          </w:tcPr>
          <w:p>
            <w:pPr>
              <w:spacing w:after="0" w:line="240" w:lineRule="auto"/>
              <w:jc w:val="center"/>
            </w:pPr>
            <w:r/>
            <w:r>
              <w:rPr>
                <w:b/>
                <w:sz w:val="15"/>
              </w:rPr>
              <w:t>0.613</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0.630†</w:t>
            </w:r>
          </w:p>
        </w:tc>
        <w:tc>
          <w:tcPr>
            <w:tcW w:type="dxa" w:w="1674"/>
          </w:tcPr>
          <w:p>
            <w:pPr>
              <w:spacing w:after="0" w:line="240" w:lineRule="auto"/>
              <w:jc w:val="center"/>
            </w:pPr>
            <w:r/>
            <w:r>
              <w:rPr>
                <w:sz w:val="15"/>
              </w:rPr>
              <w:t>0.379†</w:t>
            </w:r>
          </w:p>
        </w:tc>
        <w:tc>
          <w:tcPr>
            <w:tcW w:type="dxa" w:w="1674"/>
          </w:tcPr>
          <w:p>
            <w:pPr>
              <w:spacing w:after="0" w:line="240" w:lineRule="auto"/>
              <w:jc w:val="center"/>
            </w:pPr>
            <w:r/>
            <w:r>
              <w:rPr>
                <w:sz w:val="15"/>
              </w:rPr>
              <w:t>2.391†</w:t>
            </w:r>
          </w:p>
        </w:tc>
        <w:tc>
          <w:tcPr>
            <w:tcW w:type="dxa" w:w="1674"/>
          </w:tcPr>
          <w:p>
            <w:pPr>
              <w:spacing w:after="0" w:line="240" w:lineRule="auto"/>
              <w:jc w:val="center"/>
            </w:pPr>
            <w:r/>
            <w:r>
              <w:rPr>
                <w:sz w:val="15"/>
              </w:rPr>
              <w:t>0.488†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0.643†</w:t>
            </w:r>
          </w:p>
        </w:tc>
        <w:tc>
          <w:tcPr>
            <w:tcW w:type="dxa" w:w="1674"/>
          </w:tcPr>
          <w:p>
            <w:pPr>
              <w:spacing w:after="0" w:line="240" w:lineRule="auto"/>
              <w:jc w:val="center"/>
            </w:pPr>
            <w:r/>
            <w:r>
              <w:rPr>
                <w:sz w:val="15"/>
              </w:rPr>
              <w:t>0.365†</w:t>
            </w:r>
          </w:p>
        </w:tc>
        <w:tc>
          <w:tcPr>
            <w:tcW w:type="dxa" w:w="1674"/>
          </w:tcPr>
          <w:p>
            <w:pPr>
              <w:spacing w:after="0" w:line="240" w:lineRule="auto"/>
              <w:jc w:val="center"/>
            </w:pPr>
            <w:r/>
            <w:r>
              <w:rPr>
                <w:sz w:val="15"/>
              </w:rPr>
              <w:t>2.316†</w:t>
            </w:r>
          </w:p>
        </w:tc>
        <w:tc>
          <w:tcPr>
            <w:tcW w:type="dxa" w:w="1674"/>
          </w:tcPr>
          <w:p>
            <w:pPr>
              <w:spacing w:after="0" w:line="240" w:lineRule="auto"/>
              <w:jc w:val="center"/>
            </w:pPr>
            <w:r/>
            <w:r>
              <w:rPr>
                <w:sz w:val="15"/>
              </w:rPr>
              <w:t>0.531†</w:t>
            </w:r>
          </w:p>
        </w:tc>
      </w:tr>
      <w:tr>
        <w:tc>
          <w:tcPr>
            <w:tcW w:type="dxa" w:w="2663"/>
            <w:tcBorders>
              <w:bottom w:val="single" w:sz="6" w:space="0" w:color="000000"/>
            </w:tcBorders>
          </w:tcPr>
          <w:p>
            <w:pPr>
              <w:spacing w:after="0" w:line="240" w:lineRule="auto"/>
              <w:jc w:val="left"/>
            </w:pPr>
            <w:r/>
            <w:r>
              <w:rPr>
                <w:sz w:val="15"/>
              </w:rPr>
              <w:t xml:space="preserve">  SVM</w:t>
            </w:r>
          </w:p>
        </w:tc>
        <w:tc>
          <w:tcPr>
            <w:tcW w:type="dxa" w:w="1674"/>
            <w:tcBorders>
              <w:bottom w:val="single" w:sz="6" w:space="0" w:color="000000"/>
            </w:tcBorders>
          </w:tcPr>
          <w:p>
            <w:pPr>
              <w:spacing w:after="0" w:line="240" w:lineRule="auto"/>
              <w:jc w:val="center"/>
            </w:pPr>
            <w:r/>
            <w:r>
              <w:rPr>
                <w:sz w:val="15"/>
              </w:rPr>
              <w:t>0.663†</w:t>
            </w:r>
          </w:p>
        </w:tc>
        <w:tc>
          <w:tcPr>
            <w:tcW w:type="dxa" w:w="1674"/>
            <w:tcBorders>
              <w:bottom w:val="single" w:sz="6" w:space="0" w:color="000000"/>
            </w:tcBorders>
          </w:tcPr>
          <w:p>
            <w:pPr>
              <w:spacing w:after="0" w:line="240" w:lineRule="auto"/>
              <w:jc w:val="center"/>
            </w:pPr>
            <w:r/>
            <w:r>
              <w:rPr>
                <w:sz w:val="15"/>
              </w:rPr>
              <w:t>0.359†</w:t>
            </w:r>
          </w:p>
        </w:tc>
        <w:tc>
          <w:tcPr>
            <w:tcW w:type="dxa" w:w="1674"/>
            <w:tcBorders>
              <w:bottom w:val="single" w:sz="6" w:space="0" w:color="000000"/>
            </w:tcBorders>
          </w:tcPr>
          <w:p>
            <w:pPr>
              <w:spacing w:after="0" w:line="240" w:lineRule="auto"/>
              <w:jc w:val="center"/>
            </w:pPr>
            <w:r/>
            <w:r>
              <w:rPr>
                <w:sz w:val="15"/>
              </w:rPr>
              <w:t>2.284†</w:t>
            </w:r>
          </w:p>
        </w:tc>
        <w:tc>
          <w:tcPr>
            <w:tcW w:type="dxa" w:w="167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8" name="Picture 8"/>
            <wp:cNvGraphicFramePr>
              <a:graphicFrameLocks noChangeAspect="1"/>
            </wp:cNvGraphicFramePr>
            <a:graphic>
              <a:graphicData uri="http://schemas.openxmlformats.org/drawingml/2006/picture">
                <pic:pic>
                  <pic:nvPicPr>
                    <pic:cNvPr id="0" name="fig4_baselines.png"/>
                    <pic:cNvPicPr/>
                  </pic:nvPicPr>
                  <pic:blipFill>
                    <a:blip r:embed="rId16"/>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871"/>
            <w:tcBorders>
              <w:top w:val="single" w:sz="6" w:space="0" w:color="000000"/>
              <w:bottom w:val="single" w:sz="6" w:space="0" w:color="000000"/>
            </w:tcBorders>
          </w:tcPr>
          <w:p>
            <w:pPr>
              <w:spacing w:after="0" w:line="240" w:lineRule="auto"/>
              <w:jc w:val="left"/>
            </w:pPr>
            <w:r/>
            <w:r>
              <w:rPr>
                <w:b/>
                <w:sz w:val="15"/>
              </w:rPr>
              <w:t>Endpoint</w:t>
            </w:r>
          </w:p>
        </w:tc>
        <w:tc>
          <w:tcPr>
            <w:tcW w:type="dxa" w:w="2104"/>
            <w:tcBorders>
              <w:top w:val="single" w:sz="6" w:space="0" w:color="000000"/>
              <w:bottom w:val="single" w:sz="6" w:space="0" w:color="000000"/>
            </w:tcBorders>
          </w:tcPr>
          <w:p>
            <w:pPr>
              <w:spacing w:after="0" w:line="240" w:lineRule="auto"/>
              <w:jc w:val="center"/>
            </w:pPr>
            <w:r/>
            <w:r>
              <w:rPr>
                <w:b/>
                <w:sz w:val="15"/>
              </w:rPr>
              <w:t>Variant</w:t>
            </w:r>
          </w:p>
        </w:tc>
        <w:tc>
          <w:tcPr>
            <w:tcW w:type="dxa" w:w="1596"/>
            <w:tcBorders>
              <w:top w:val="single" w:sz="6" w:space="0" w:color="000000"/>
              <w:bottom w:val="single" w:sz="6" w:space="0" w:color="000000"/>
            </w:tcBorders>
          </w:tcPr>
          <w:p>
            <w:pPr>
              <w:spacing w:after="0" w:line="240" w:lineRule="auto"/>
              <w:jc w:val="center"/>
            </w:pPr>
            <w:r/>
            <w:r>
              <w:rPr>
                <w:b/>
                <w:sz w:val="15"/>
              </w:rPr>
              <w:t>R²</w:t>
            </w:r>
          </w:p>
        </w:tc>
        <w:tc>
          <w:tcPr>
            <w:tcW w:type="dxa" w:w="1596"/>
            <w:tcBorders>
              <w:top w:val="single" w:sz="6" w:space="0" w:color="000000"/>
              <w:bottom w:val="single" w:sz="6" w:space="0" w:color="000000"/>
            </w:tcBorders>
          </w:tcPr>
          <w:p>
            <w:pPr>
              <w:spacing w:after="0" w:line="240" w:lineRule="auto"/>
              <w:jc w:val="center"/>
            </w:pPr>
            <w:r/>
            <w:r>
              <w:rPr>
                <w:b/>
                <w:sz w:val="15"/>
              </w:rPr>
              <w:t>MAE</w:t>
            </w:r>
          </w:p>
        </w:tc>
        <w:tc>
          <w:tcPr>
            <w:tcW w:type="dxa" w:w="1596"/>
            <w:tcBorders>
              <w:top w:val="single" w:sz="6" w:space="0" w:color="000000"/>
              <w:bottom w:val="single" w:sz="6" w:space="0" w:color="000000"/>
            </w:tcBorders>
          </w:tcPr>
          <w:p>
            <w:pPr>
              <w:spacing w:after="0" w:line="240" w:lineRule="auto"/>
              <w:jc w:val="center"/>
            </w:pPr>
            <w:r/>
            <w:r>
              <w:rPr>
                <w:b/>
                <w:sz w:val="15"/>
              </w:rPr>
              <w:t>GMFE</w:t>
            </w:r>
          </w:p>
        </w:tc>
        <w:tc>
          <w:tcPr>
            <w:tcW w:type="dxa" w:w="1596"/>
            <w:tcBorders>
              <w:top w:val="single" w:sz="6" w:space="0" w:color="000000"/>
              <w:bottom w:val="single" w:sz="6" w:space="0" w:color="000000"/>
            </w:tcBorders>
          </w:tcPr>
          <w:p>
            <w:pPr>
              <w:spacing w:after="0" w:line="240" w:lineRule="auto"/>
              <w:jc w:val="center"/>
            </w:pPr>
            <w:r/>
            <w:r>
              <w:rPr>
                <w:b/>
                <w:sz w:val="15"/>
              </w:rPr>
              <w:t>W2F</w:t>
            </w:r>
          </w:p>
        </w:tc>
      </w:tr>
      <w:tr>
        <w:tc>
          <w:tcPr>
            <w:tcW w:type="dxa" w:w="871"/>
          </w:tcPr>
          <w:p>
            <w:pPr>
              <w:spacing w:after="0" w:line="240" w:lineRule="auto"/>
              <w:jc w:val="left"/>
            </w:pPr>
            <w:r/>
            <w:r>
              <w:rPr>
                <w:sz w:val="15"/>
              </w:rPr>
              <w:t>CL</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0.468 (0.364 ± 0.076)</w:t>
            </w:r>
          </w:p>
        </w:tc>
        <w:tc>
          <w:tcPr>
            <w:tcW w:type="dxa" w:w="1596"/>
          </w:tcPr>
          <w:p>
            <w:pPr>
              <w:spacing w:after="0" w:line="240" w:lineRule="auto"/>
              <w:jc w:val="center"/>
            </w:pPr>
            <w:r/>
            <w:r>
              <w:rPr>
                <w:sz w:val="15"/>
              </w:rPr>
              <w:t>0.313 (0.348 ± 0.022)</w:t>
            </w:r>
          </w:p>
        </w:tc>
        <w:tc>
          <w:tcPr>
            <w:tcW w:type="dxa" w:w="1596"/>
          </w:tcPr>
          <w:p>
            <w:pPr>
              <w:spacing w:after="0" w:line="240" w:lineRule="auto"/>
              <w:jc w:val="center"/>
            </w:pPr>
            <w:r/>
            <w:r>
              <w:rPr>
                <w:sz w:val="15"/>
              </w:rPr>
              <w:t>2.057 (2.230 ± 0.114)</w:t>
            </w:r>
          </w:p>
        </w:tc>
        <w:tc>
          <w:tcPr>
            <w:tcW w:type="dxa" w:w="1596"/>
          </w:tcPr>
          <w:p>
            <w:pPr>
              <w:spacing w:after="0" w:line="240" w:lineRule="auto"/>
              <w:jc w:val="center"/>
            </w:pPr>
            <w:r/>
            <w:r>
              <w:rPr>
                <w:sz w:val="15"/>
              </w:rPr>
              <w:t>0.571 (0.561 ± 0.034)</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MFMN-InteractAux</w:t>
            </w:r>
          </w:p>
        </w:tc>
        <w:tc>
          <w:tcPr>
            <w:tcW w:type="dxa" w:w="1596"/>
          </w:tcPr>
          <w:p>
            <w:pPr>
              <w:spacing w:after="0" w:line="240" w:lineRule="auto"/>
              <w:jc w:val="center"/>
            </w:pPr>
            <w:r/>
            <w:r>
              <w:rPr>
                <w:sz w:val="15"/>
              </w:rPr>
              <w:t>0.490 (0.426 ± 0.036)</w:t>
            </w:r>
          </w:p>
        </w:tc>
        <w:tc>
          <w:tcPr>
            <w:tcW w:type="dxa" w:w="1596"/>
          </w:tcPr>
          <w:p>
            <w:pPr>
              <w:spacing w:after="0" w:line="240" w:lineRule="auto"/>
              <w:jc w:val="center"/>
            </w:pPr>
            <w:r/>
            <w:r>
              <w:rPr>
                <w:sz w:val="15"/>
              </w:rPr>
              <w:t>0.309 (0.329 ± 0.013)</w:t>
            </w:r>
          </w:p>
        </w:tc>
        <w:tc>
          <w:tcPr>
            <w:tcW w:type="dxa" w:w="1596"/>
          </w:tcPr>
          <w:p>
            <w:pPr>
              <w:spacing w:after="0" w:line="240" w:lineRule="auto"/>
              <w:jc w:val="center"/>
            </w:pPr>
            <w:r/>
            <w:r>
              <w:rPr>
                <w:sz w:val="15"/>
              </w:rPr>
              <w:t>2.036 (2.135 ± 0.065)</w:t>
            </w:r>
          </w:p>
        </w:tc>
        <w:tc>
          <w:tcPr>
            <w:tcW w:type="dxa" w:w="1596"/>
          </w:tcPr>
          <w:p>
            <w:pPr>
              <w:spacing w:after="0" w:line="240" w:lineRule="auto"/>
              <w:jc w:val="center"/>
            </w:pPr>
            <w:r/>
            <w:r>
              <w:rPr>
                <w:b/>
                <w:sz w:val="15"/>
              </w:rPr>
              <w:t>0.605 (0.591 ± 0.023)</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 (final)</w:t>
            </w:r>
          </w:p>
        </w:tc>
        <w:tc>
          <w:tcPr>
            <w:tcW w:type="dxa" w:w="1596"/>
          </w:tcPr>
          <w:p>
            <w:pPr>
              <w:spacing w:after="0" w:line="240" w:lineRule="auto"/>
              <w:jc w:val="center"/>
            </w:pPr>
            <w:r/>
            <w:r>
              <w:rPr>
                <w:b/>
                <w:sz w:val="15"/>
              </w:rPr>
              <w:t>0.497 (0.441 ± 0.020)</w:t>
            </w:r>
          </w:p>
        </w:tc>
        <w:tc>
          <w:tcPr>
            <w:tcW w:type="dxa" w:w="1596"/>
          </w:tcPr>
          <w:p>
            <w:pPr>
              <w:spacing w:after="0" w:line="240" w:lineRule="auto"/>
              <w:jc w:val="center"/>
            </w:pPr>
            <w:r/>
            <w:r>
              <w:rPr>
                <w:b/>
                <w:sz w:val="15"/>
              </w:rPr>
              <w:t>0.305 (0.324 ± 0.007)</w:t>
            </w:r>
          </w:p>
        </w:tc>
        <w:tc>
          <w:tcPr>
            <w:tcW w:type="dxa" w:w="1596"/>
          </w:tcPr>
          <w:p>
            <w:pPr>
              <w:spacing w:after="0" w:line="240" w:lineRule="auto"/>
              <w:jc w:val="center"/>
            </w:pPr>
            <w:r/>
            <w:r>
              <w:rPr>
                <w:b/>
                <w:sz w:val="15"/>
              </w:rPr>
              <w:t>2.018 (2.109 ± 0.036)</w:t>
            </w:r>
          </w:p>
        </w:tc>
        <w:tc>
          <w:tcPr>
            <w:tcW w:type="dxa" w:w="1596"/>
          </w:tcPr>
          <w:p>
            <w:pPr>
              <w:spacing w:after="0" w:line="240" w:lineRule="auto"/>
              <w:jc w:val="center"/>
            </w:pPr>
            <w:r/>
            <w:r>
              <w:rPr>
                <w:b/>
                <w:sz w:val="15"/>
              </w:rPr>
              <w:t>0.605 (0.579 ± 0.018)</w:t>
            </w:r>
          </w:p>
        </w:tc>
      </w:tr>
      <w:tr>
        <w:tc>
          <w:tcPr>
            <w:tcW w:type="dxa" w:w="871"/>
          </w:tcPr>
          <w:p>
            <w:pPr>
              <w:spacing w:after="0" w:line="240" w:lineRule="auto"/>
              <w:jc w:val="left"/>
            </w:pPr>
            <w:r/>
            <w:r>
              <w:rPr>
                <w:sz w:val="15"/>
              </w:rPr>
              <w:t>VDss</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0.571† (0.528 ± 0.029)</w:t>
            </w:r>
          </w:p>
        </w:tc>
        <w:tc>
          <w:tcPr>
            <w:tcW w:type="dxa" w:w="1596"/>
          </w:tcPr>
          <w:p>
            <w:pPr>
              <w:spacing w:after="0" w:line="240" w:lineRule="auto"/>
              <w:jc w:val="center"/>
            </w:pPr>
            <w:r/>
            <w:r>
              <w:rPr>
                <w:sz w:val="15"/>
              </w:rPr>
              <w:t>0.272† (0.287 ± 0.009)</w:t>
            </w:r>
          </w:p>
        </w:tc>
        <w:tc>
          <w:tcPr>
            <w:tcW w:type="dxa" w:w="1596"/>
          </w:tcPr>
          <w:p>
            <w:pPr>
              <w:spacing w:after="0" w:line="240" w:lineRule="auto"/>
              <w:jc w:val="center"/>
            </w:pPr>
            <w:r/>
            <w:r>
              <w:rPr>
                <w:sz w:val="15"/>
              </w:rPr>
              <w:t>1.872† (1.935 ± 0.040)</w:t>
            </w:r>
          </w:p>
        </w:tc>
        <w:tc>
          <w:tcPr>
            <w:tcW w:type="dxa" w:w="1596"/>
          </w:tcPr>
          <w:p>
            <w:pPr>
              <w:spacing w:after="0" w:line="240" w:lineRule="auto"/>
              <w:jc w:val="center"/>
            </w:pPr>
            <w:r/>
            <w:r>
              <w:rPr>
                <w:sz w:val="15"/>
              </w:rPr>
              <w:t>0.655 (0.632 ± 0.022)</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w:t>
            </w:r>
          </w:p>
        </w:tc>
        <w:tc>
          <w:tcPr>
            <w:tcW w:type="dxa" w:w="1596"/>
          </w:tcPr>
          <w:p>
            <w:pPr>
              <w:spacing w:after="0" w:line="240" w:lineRule="auto"/>
              <w:jc w:val="center"/>
            </w:pPr>
            <w:r/>
            <w:r>
              <w:rPr>
                <w:sz w:val="15"/>
              </w:rPr>
              <w:t>0.647 (0.609 ± 0.009)</w:t>
            </w:r>
          </w:p>
        </w:tc>
        <w:tc>
          <w:tcPr>
            <w:tcW w:type="dxa" w:w="1596"/>
          </w:tcPr>
          <w:p>
            <w:pPr>
              <w:spacing w:after="0" w:line="240" w:lineRule="auto"/>
              <w:jc w:val="center"/>
            </w:pPr>
            <w:r/>
            <w:r>
              <w:rPr>
                <w:sz w:val="15"/>
              </w:rPr>
              <w:t>0.248 (0.260 ± 0.004)</w:t>
            </w:r>
          </w:p>
        </w:tc>
        <w:tc>
          <w:tcPr>
            <w:tcW w:type="dxa" w:w="1596"/>
          </w:tcPr>
          <w:p>
            <w:pPr>
              <w:spacing w:after="0" w:line="240" w:lineRule="auto"/>
              <w:jc w:val="center"/>
            </w:pPr>
            <w:r/>
            <w:r>
              <w:rPr>
                <w:sz w:val="15"/>
              </w:rPr>
              <w:t>1.771 (1.821 ± 0.017)</w:t>
            </w:r>
          </w:p>
        </w:tc>
        <w:tc>
          <w:tcPr>
            <w:tcW w:type="dxa" w:w="1596"/>
          </w:tcPr>
          <w:p>
            <w:pPr>
              <w:spacing w:after="0" w:line="240" w:lineRule="auto"/>
              <w:jc w:val="center"/>
            </w:pPr>
            <w:r/>
            <w:r>
              <w:rPr>
                <w:b/>
                <w:sz w:val="15"/>
              </w:rPr>
              <w:t>0.695 (0.680 ± 0.010)</w:t>
            </w:r>
          </w:p>
        </w:tc>
      </w:tr>
      <w:tr>
        <w:tc>
          <w:tcPr>
            <w:tcW w:type="dxa" w:w="871"/>
            <w:tcBorders>
              <w:bottom w:val="single" w:sz="6" w:space="0" w:color="000000"/>
            </w:tcBorders>
          </w:tcPr>
          <w:p>
            <w:pPr>
              <w:spacing w:after="0" w:line="240" w:lineRule="auto"/>
              <w:jc w:val="left"/>
            </w:pPr>
            <w:r/>
            <w:r>
              <w:rPr>
                <w:sz w:val="15"/>
              </w:rPr>
            </w:r>
          </w:p>
        </w:tc>
        <w:tc>
          <w:tcPr>
            <w:tcW w:type="dxa" w:w="2104"/>
            <w:tcBorders>
              <w:bottom w:val="single" w:sz="6" w:space="0" w:color="000000"/>
            </w:tcBorders>
          </w:tcPr>
          <w:p>
            <w:pPr>
              <w:spacing w:after="0" w:line="240" w:lineRule="auto"/>
              <w:jc w:val="center"/>
            </w:pPr>
            <w:r/>
            <w:r>
              <w:rPr>
                <w:sz w:val="15"/>
              </w:rPr>
              <w:t>MFMN-InteractAux (final)</w:t>
            </w:r>
          </w:p>
        </w:tc>
        <w:tc>
          <w:tcPr>
            <w:tcW w:type="dxa" w:w="1596"/>
            <w:tcBorders>
              <w:bottom w:val="single" w:sz="6" w:space="0" w:color="000000"/>
            </w:tcBorders>
          </w:tcPr>
          <w:p>
            <w:pPr>
              <w:spacing w:after="0" w:line="240" w:lineRule="auto"/>
              <w:jc w:val="center"/>
            </w:pPr>
            <w:r/>
            <w:r>
              <w:rPr>
                <w:b/>
                <w:sz w:val="15"/>
              </w:rPr>
              <w:t>0.648 (0.609 ± 0.029)</w:t>
            </w:r>
          </w:p>
        </w:tc>
        <w:tc>
          <w:tcPr>
            <w:tcW w:type="dxa" w:w="1596"/>
            <w:tcBorders>
              <w:bottom w:val="single" w:sz="6" w:space="0" w:color="000000"/>
            </w:tcBorders>
          </w:tcPr>
          <w:p>
            <w:pPr>
              <w:spacing w:after="0" w:line="240" w:lineRule="auto"/>
              <w:jc w:val="center"/>
            </w:pPr>
            <w:r/>
            <w:r>
              <w:rPr>
                <w:b/>
                <w:sz w:val="15"/>
              </w:rPr>
              <w:t>0.247 (0.259 ± 0.012)</w:t>
            </w:r>
          </w:p>
        </w:tc>
        <w:tc>
          <w:tcPr>
            <w:tcW w:type="dxa" w:w="1596"/>
            <w:tcBorders>
              <w:bottom w:val="single" w:sz="6" w:space="0" w:color="000000"/>
            </w:tcBorders>
          </w:tcPr>
          <w:p>
            <w:pPr>
              <w:spacing w:after="0" w:line="240" w:lineRule="auto"/>
              <w:jc w:val="center"/>
            </w:pPr>
            <w:r/>
            <w:r>
              <w:rPr>
                <w:b/>
                <w:sz w:val="15"/>
              </w:rPr>
              <w:t>1.764 (1.814 ± 0.048)</w:t>
            </w:r>
          </w:p>
        </w:tc>
        <w:tc>
          <w:tcPr>
            <w:tcW w:type="dxa" w:w="1596"/>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9" name="Picture 9"/>
            <wp:cNvGraphicFramePr>
              <a:graphicFrameLocks noChangeAspect="1"/>
            </wp:cNvGraphicFramePr>
            <a:graphic>
              <a:graphicData uri="http://schemas.openxmlformats.org/drawingml/2006/picture">
                <pic:pic>
                  <pic:nvPicPr>
                    <pic:cNvPr id="0" name="fig5_ablation.png"/>
                    <pic:cNvPicPr/>
                  </pic:nvPicPr>
                  <pic:blipFill>
                    <a:blip r:embed="rId17"/>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 Removing the xTB-derived features from the final model itself (no site readout, no xTB) gives the same result: R² 0.945, MAE 0.418 and RMSE 0.688, all worse than the final model with every paired-difference CI excluding zero (MAE difference CI [-0.0227, -0.0013]).</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220"/>
            <w:tcBorders>
              <w:top w:val="single" w:sz="6" w:space="0" w:color="000000"/>
              <w:bottom w:val="single" w:sz="6" w:space="0" w:color="000000"/>
            </w:tcBorders>
          </w:tcPr>
          <w:p>
            <w:pPr>
              <w:spacing w:after="0" w:line="240" w:lineRule="auto"/>
              <w:jc w:val="left"/>
            </w:pPr>
            <w:r/>
            <w:r>
              <w:rPr>
                <w:b/>
                <w:sz w:val="15"/>
              </w:rPr>
              <w:t>Endpoint</w:t>
            </w:r>
          </w:p>
        </w:tc>
        <w:tc>
          <w:tcPr>
            <w:tcW w:type="dxa" w:w="1938"/>
            <w:tcBorders>
              <w:top w:val="single" w:sz="6" w:space="0" w:color="000000"/>
              <w:bottom w:val="single" w:sz="6" w:space="0" w:color="000000"/>
            </w:tcBorders>
          </w:tcPr>
          <w:p>
            <w:pPr>
              <w:spacing w:after="0" w:line="240" w:lineRule="auto"/>
              <w:jc w:val="center"/>
            </w:pPr>
            <w:r/>
            <w:r>
              <w:rPr>
                <w:b/>
                <w:sz w:val="15"/>
              </w:rPr>
              <w:t>Variant</w:t>
            </w:r>
          </w:p>
        </w:tc>
        <w:tc>
          <w:tcPr>
            <w:tcW w:type="dxa" w:w="1550"/>
            <w:tcBorders>
              <w:top w:val="single" w:sz="6" w:space="0" w:color="000000"/>
              <w:bottom w:val="single" w:sz="6" w:space="0" w:color="000000"/>
            </w:tcBorders>
          </w:tcPr>
          <w:p>
            <w:pPr>
              <w:spacing w:after="0" w:line="240" w:lineRule="auto"/>
              <w:jc w:val="center"/>
            </w:pPr>
            <w:r/>
            <w:r>
              <w:rPr>
                <w:b/>
                <w:sz w:val="15"/>
              </w:rPr>
              <w:t>R²</w:t>
            </w:r>
          </w:p>
        </w:tc>
        <w:tc>
          <w:tcPr>
            <w:tcW w:type="dxa" w:w="1550"/>
            <w:tcBorders>
              <w:top w:val="single" w:sz="6" w:space="0" w:color="000000"/>
              <w:bottom w:val="single" w:sz="6" w:space="0" w:color="000000"/>
            </w:tcBorders>
          </w:tcPr>
          <w:p>
            <w:pPr>
              <w:spacing w:after="0" w:line="240" w:lineRule="auto"/>
              <w:jc w:val="center"/>
            </w:pPr>
            <w:r/>
            <w:r>
              <w:rPr>
                <w:b/>
                <w:sz w:val="15"/>
              </w:rPr>
              <w:t>MAE</w:t>
            </w:r>
          </w:p>
        </w:tc>
        <w:tc>
          <w:tcPr>
            <w:tcW w:type="dxa" w:w="1550"/>
            <w:tcBorders>
              <w:top w:val="single" w:sz="6" w:space="0" w:color="000000"/>
              <w:bottom w:val="single" w:sz="6" w:space="0" w:color="000000"/>
            </w:tcBorders>
          </w:tcPr>
          <w:p>
            <w:pPr>
              <w:spacing w:after="0" w:line="240" w:lineRule="auto"/>
              <w:jc w:val="center"/>
            </w:pPr>
            <w:r/>
            <w:r>
              <w:rPr>
                <w:b/>
                <w:sz w:val="15"/>
              </w:rPr>
              <w:t>RMSE</w:t>
            </w:r>
          </w:p>
        </w:tc>
        <w:tc>
          <w:tcPr>
            <w:tcW w:type="dxa" w:w="1550"/>
            <w:tcBorders>
              <w:top w:val="single" w:sz="6" w:space="0" w:color="000000"/>
              <w:bottom w:val="single" w:sz="6" w:space="0" w:color="000000"/>
            </w:tcBorders>
          </w:tcPr>
          <w:p>
            <w:pPr>
              <w:spacing w:after="0" w:line="240" w:lineRule="auto"/>
              <w:jc w:val="center"/>
            </w:pPr>
            <w:r/>
            <w:r>
              <w:rPr>
                <w:b/>
                <w:sz w:val="15"/>
              </w:rPr>
              <w:t>W1</w:t>
            </w:r>
          </w:p>
        </w:tc>
      </w:tr>
      <w:tr>
        <w:tc>
          <w:tcPr>
            <w:tcW w:type="dxa" w:w="1220"/>
          </w:tcPr>
          <w:p>
            <w:pPr>
              <w:spacing w:after="0" w:line="240" w:lineRule="auto"/>
              <w:jc w:val="left"/>
            </w:pPr>
            <w:r/>
            <w:r>
              <w:rPr>
                <w:sz w:val="15"/>
              </w:rPr>
              <w:t>pKa (acidic)</w:t>
            </w:r>
          </w:p>
        </w:tc>
        <w:tc>
          <w:tcPr>
            <w:tcW w:type="dxa" w:w="1938"/>
          </w:tcPr>
          <w:p>
            <w:pPr>
              <w:spacing w:after="0" w:line="240" w:lineRule="auto"/>
              <w:jc w:val="center"/>
            </w:pPr>
            <w:r/>
            <w:r>
              <w:rPr>
                <w:sz w:val="15"/>
              </w:rPr>
              <w:t>w/o xTB features</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sz w:val="15"/>
              </w:rPr>
              <w:t>0.426 (0.488 ± 0.017)</w:t>
            </w:r>
          </w:p>
        </w:tc>
        <w:tc>
          <w:tcPr>
            <w:tcW w:type="dxa" w:w="1550"/>
          </w:tcPr>
          <w:p>
            <w:pPr>
              <w:spacing w:after="0" w:line="240" w:lineRule="auto"/>
              <w:jc w:val="center"/>
            </w:pPr>
            <w:r/>
            <w:r>
              <w:rPr>
                <w:sz w:val="15"/>
              </w:rPr>
              <w:t>0.759 (0.822 ± 0.021)</w:t>
            </w:r>
          </w:p>
        </w:tc>
        <w:tc>
          <w:tcPr>
            <w:tcW w:type="dxa" w:w="1550"/>
          </w:tcPr>
          <w:p>
            <w:pPr>
              <w:spacing w:after="0" w:line="240" w:lineRule="auto"/>
              <w:jc w:val="center"/>
            </w:pPr>
            <w:r/>
            <w:r>
              <w:rPr>
                <w:b/>
                <w:sz w:val="15"/>
              </w:rPr>
              <w:t>0.912 (0.886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edge gating</w:t>
            </w:r>
          </w:p>
        </w:tc>
        <w:tc>
          <w:tcPr>
            <w:tcW w:type="dxa" w:w="1550"/>
          </w:tcPr>
          <w:p>
            <w:pPr>
              <w:spacing w:after="0" w:line="240" w:lineRule="auto"/>
              <w:jc w:val="center"/>
            </w:pPr>
            <w:r/>
            <w:r>
              <w:rPr>
                <w:b/>
                <w:sz w:val="15"/>
              </w:rPr>
              <w:t>0.969 (0.964 ± 0.002)</w:t>
            </w:r>
          </w:p>
        </w:tc>
        <w:tc>
          <w:tcPr>
            <w:tcW w:type="dxa" w:w="1550"/>
          </w:tcPr>
          <w:p>
            <w:pPr>
              <w:spacing w:after="0" w:line="240" w:lineRule="auto"/>
              <w:jc w:val="center"/>
            </w:pPr>
            <w:r/>
            <w:r>
              <w:rPr>
                <w:sz w:val="15"/>
              </w:rPr>
              <w:t>0.428 (0.484 ± 0.017)</w:t>
            </w:r>
          </w:p>
        </w:tc>
        <w:tc>
          <w:tcPr>
            <w:tcW w:type="dxa" w:w="1550"/>
          </w:tcPr>
          <w:p>
            <w:pPr>
              <w:spacing w:after="0" w:line="240" w:lineRule="auto"/>
              <w:jc w:val="center"/>
            </w:pPr>
            <w:r/>
            <w:r>
              <w:rPr>
                <w:b/>
                <w:sz w:val="15"/>
              </w:rPr>
              <w:t>0.754 (0.814 ± 0.027)</w:t>
            </w:r>
          </w:p>
        </w:tc>
        <w:tc>
          <w:tcPr>
            <w:tcW w:type="dxa" w:w="1550"/>
          </w:tcPr>
          <w:p>
            <w:pPr>
              <w:spacing w:after="0" w:line="240" w:lineRule="auto"/>
              <w:jc w:val="center"/>
            </w:pPr>
            <w:r/>
            <w:r>
              <w:rPr>
                <w:sz w:val="15"/>
              </w:rPr>
              <w:t>0.907 (0.886 ± 0.010)</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site readout</w:t>
            </w:r>
          </w:p>
        </w:tc>
        <w:tc>
          <w:tcPr>
            <w:tcW w:type="dxa" w:w="1550"/>
          </w:tcPr>
          <w:p>
            <w:pPr>
              <w:spacing w:after="0" w:line="240" w:lineRule="auto"/>
              <w:jc w:val="center"/>
            </w:pPr>
            <w:r/>
            <w:r>
              <w:rPr>
                <w:sz w:val="15"/>
              </w:rPr>
              <w:t>0.968 (0.963 ± 0.002)</w:t>
            </w:r>
          </w:p>
        </w:tc>
        <w:tc>
          <w:tcPr>
            <w:tcW w:type="dxa" w:w="1550"/>
          </w:tcPr>
          <w:p>
            <w:pPr>
              <w:spacing w:after="0" w:line="240" w:lineRule="auto"/>
              <w:jc w:val="center"/>
            </w:pPr>
            <w:r/>
            <w:r>
              <w:rPr>
                <w:sz w:val="15"/>
              </w:rPr>
              <w:t>0.427 (0.486 ± 0.017)</w:t>
            </w:r>
          </w:p>
        </w:tc>
        <w:tc>
          <w:tcPr>
            <w:tcW w:type="dxa" w:w="1550"/>
          </w:tcPr>
          <w:p>
            <w:pPr>
              <w:spacing w:after="0" w:line="240" w:lineRule="auto"/>
              <w:jc w:val="center"/>
            </w:pPr>
            <w:r/>
            <w:r>
              <w:rPr>
                <w:sz w:val="15"/>
              </w:rPr>
              <w:t>0.771 (0.830 ± 0.025)</w:t>
            </w:r>
          </w:p>
        </w:tc>
        <w:tc>
          <w:tcPr>
            <w:tcW w:type="dxa" w:w="1550"/>
          </w:tcPr>
          <w:p>
            <w:pPr>
              <w:spacing w:after="0" w:line="240" w:lineRule="auto"/>
              <w:jc w:val="center"/>
            </w:pPr>
            <w:r/>
            <w:r>
              <w:rPr>
                <w:sz w:val="15"/>
              </w:rPr>
              <w:t>0.906 (0.888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(final)</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b/>
                <w:sz w:val="15"/>
              </w:rPr>
              <w:t>0.424 (0.484 ± 0.020)</w:t>
            </w:r>
          </w:p>
        </w:tc>
        <w:tc>
          <w:tcPr>
            <w:tcW w:type="dxa" w:w="1550"/>
          </w:tcPr>
          <w:p>
            <w:pPr>
              <w:spacing w:after="0" w:line="240" w:lineRule="auto"/>
              <w:jc w:val="center"/>
            </w:pPr>
            <w:r/>
            <w:r>
              <w:rPr>
                <w:sz w:val="15"/>
              </w:rPr>
              <w:t>0.757 (0.820 ± 0.025)</w:t>
            </w:r>
          </w:p>
        </w:tc>
        <w:tc>
          <w:tcPr>
            <w:tcW w:type="dxa" w:w="1550"/>
          </w:tcPr>
          <w:p>
            <w:pPr>
              <w:spacing w:after="0" w:line="240" w:lineRule="auto"/>
              <w:jc w:val="center"/>
            </w:pPr>
            <w:r/>
            <w:r>
              <w:rPr>
                <w:sz w:val="15"/>
              </w:rPr>
              <w:t>0.910 (0.887 ± 0.010)</w:t>
            </w:r>
          </w:p>
        </w:tc>
      </w:tr>
      <w:tr>
        <w:tc>
          <w:tcPr>
            <w:tcW w:type="dxa" w:w="1220"/>
          </w:tcPr>
          <w:p>
            <w:pPr>
              <w:spacing w:after="0" w:line="240" w:lineRule="auto"/>
              <w:jc w:val="left"/>
            </w:pPr>
            <w:r/>
            <w:r>
              <w:rPr>
                <w:sz w:val="15"/>
              </w:rPr>
              <w:t>pKa (basic)</w:t>
            </w:r>
          </w:p>
        </w:tc>
        <w:tc>
          <w:tcPr>
            <w:tcW w:type="dxa" w:w="1938"/>
          </w:tcPr>
          <w:p>
            <w:pPr>
              <w:spacing w:after="0" w:line="240" w:lineRule="auto"/>
              <w:jc w:val="center"/>
            </w:pPr>
            <w:r/>
            <w:r>
              <w:rPr>
                <w:sz w:val="15"/>
              </w:rPr>
              <w:t>full, w/o xTB features</w:t>
            </w:r>
          </w:p>
        </w:tc>
        <w:tc>
          <w:tcPr>
            <w:tcW w:type="dxa" w:w="1550"/>
          </w:tcPr>
          <w:p>
            <w:pPr>
              <w:spacing w:after="0" w:line="240" w:lineRule="auto"/>
              <w:jc w:val="center"/>
            </w:pPr>
            <w:r/>
            <w:r>
              <w:rPr>
                <w:sz w:val="15"/>
              </w:rPr>
              <w:t>0.943† (0.931 ± 0.004)</w:t>
            </w:r>
          </w:p>
        </w:tc>
        <w:tc>
          <w:tcPr>
            <w:tcW w:type="dxa" w:w="1550"/>
          </w:tcPr>
          <w:p>
            <w:pPr>
              <w:spacing w:after="0" w:line="240" w:lineRule="auto"/>
              <w:jc w:val="center"/>
            </w:pPr>
            <w:r/>
            <w:r>
              <w:rPr>
                <w:sz w:val="15"/>
              </w:rPr>
              <w:t>0.424† (0.483 ± 0.014)</w:t>
            </w:r>
          </w:p>
        </w:tc>
        <w:tc>
          <w:tcPr>
            <w:tcW w:type="dxa" w:w="1550"/>
          </w:tcPr>
          <w:p>
            <w:pPr>
              <w:spacing w:after="0" w:line="240" w:lineRule="auto"/>
              <w:jc w:val="center"/>
            </w:pPr>
            <w:r/>
            <w:r>
              <w:rPr>
                <w:sz w:val="15"/>
              </w:rPr>
              <w:t>0.703† (0.772 ± 0.024)</w:t>
            </w:r>
          </w:p>
        </w:tc>
        <w:tc>
          <w:tcPr>
            <w:tcW w:type="dxa" w:w="1550"/>
          </w:tcPr>
          <w:p>
            <w:pPr>
              <w:spacing w:after="0" w:line="240" w:lineRule="auto"/>
              <w:jc w:val="center"/>
            </w:pPr>
            <w:r/>
            <w:r>
              <w:rPr>
                <w:sz w:val="15"/>
              </w:rPr>
              <w:t>0.892† (0.875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full, w/o edge gating</w:t>
            </w:r>
          </w:p>
        </w:tc>
        <w:tc>
          <w:tcPr>
            <w:tcW w:type="dxa" w:w="1550"/>
          </w:tcPr>
          <w:p>
            <w:pPr>
              <w:spacing w:after="0" w:line="240" w:lineRule="auto"/>
              <w:jc w:val="center"/>
            </w:pPr>
            <w:r/>
            <w:r>
              <w:rPr>
                <w:sz w:val="15"/>
              </w:rPr>
              <w:t>0.946† (0.935 ± 0.004)</w:t>
            </w:r>
          </w:p>
        </w:tc>
        <w:tc>
          <w:tcPr>
            <w:tcW w:type="dxa" w:w="1550"/>
          </w:tcPr>
          <w:p>
            <w:pPr>
              <w:spacing w:after="0" w:line="240" w:lineRule="auto"/>
              <w:jc w:val="center"/>
            </w:pPr>
            <w:r/>
            <w:r>
              <w:rPr>
                <w:sz w:val="15"/>
              </w:rPr>
              <w:t>0.415 (0.469 ± 0.015)</w:t>
            </w:r>
          </w:p>
        </w:tc>
        <w:tc>
          <w:tcPr>
            <w:tcW w:type="dxa" w:w="1550"/>
          </w:tcPr>
          <w:p>
            <w:pPr>
              <w:spacing w:after="0" w:line="240" w:lineRule="auto"/>
              <w:jc w:val="center"/>
            </w:pPr>
            <w:r/>
            <w:r>
              <w:rPr>
                <w:sz w:val="15"/>
              </w:rPr>
              <w:t>0.680† (0.747 ± 0.023)</w:t>
            </w:r>
          </w:p>
        </w:tc>
        <w:tc>
          <w:tcPr>
            <w:tcW w:type="dxa" w:w="1550"/>
          </w:tcPr>
          <w:p>
            <w:pPr>
              <w:spacing w:after="0" w:line="240" w:lineRule="auto"/>
              <w:jc w:val="center"/>
            </w:pPr>
            <w:r/>
            <w:r>
              <w:rPr>
                <w:sz w:val="15"/>
              </w:rPr>
              <w:t>0.901 (0.882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(full)</w:t>
            </w:r>
          </w:p>
        </w:tc>
        <w:tc>
          <w:tcPr>
            <w:tcW w:type="dxa" w:w="1550"/>
          </w:tcPr>
          <w:p>
            <w:pPr>
              <w:spacing w:after="0" w:line="240" w:lineRule="auto"/>
              <w:jc w:val="center"/>
            </w:pPr>
            <w:r/>
            <w:r>
              <w:rPr>
                <w:sz w:val="15"/>
              </w:rPr>
              <w:t>0.948 (0.937 ± 0.003)</w:t>
            </w:r>
          </w:p>
        </w:tc>
        <w:tc>
          <w:tcPr>
            <w:tcW w:type="dxa" w:w="1550"/>
          </w:tcPr>
          <w:p>
            <w:pPr>
              <w:spacing w:after="0" w:line="240" w:lineRule="auto"/>
              <w:jc w:val="center"/>
            </w:pPr>
            <w:r/>
            <w:r>
              <w:rPr>
                <w:sz w:val="15"/>
              </w:rPr>
              <w:t>0.416 (0.472 ± 0.010)</w:t>
            </w:r>
          </w:p>
        </w:tc>
        <w:tc>
          <w:tcPr>
            <w:tcW w:type="dxa" w:w="1550"/>
          </w:tcPr>
          <w:p>
            <w:pPr>
              <w:spacing w:after="0" w:line="240" w:lineRule="auto"/>
              <w:jc w:val="center"/>
            </w:pPr>
            <w:r/>
            <w:r>
              <w:rPr>
                <w:sz w:val="15"/>
              </w:rPr>
              <w:t>0.670 (0.736 ± 0.016)</w:t>
            </w:r>
          </w:p>
        </w:tc>
        <w:tc>
          <w:tcPr>
            <w:tcW w:type="dxa" w:w="1550"/>
          </w:tcPr>
          <w:p>
            <w:pPr>
              <w:spacing w:after="0" w:line="240" w:lineRule="auto"/>
              <w:jc w:val="center"/>
            </w:pPr>
            <w:r/>
            <w:r>
              <w:rPr>
                <w:sz w:val="15"/>
              </w:rPr>
              <w:t>0.899 (0.885 ± 0.009)</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final, w/o xTB features</w:t>
            </w:r>
          </w:p>
        </w:tc>
        <w:tc>
          <w:tcPr>
            <w:tcW w:type="dxa" w:w="1550"/>
          </w:tcPr>
          <w:p>
            <w:pPr>
              <w:spacing w:after="0" w:line="240" w:lineRule="auto"/>
              <w:jc w:val="center"/>
            </w:pPr>
            <w:r/>
            <w:r>
              <w:rPr>
                <w:sz w:val="15"/>
              </w:rPr>
              <w:t>0.945† (0.934 ± 0.004)</w:t>
            </w:r>
          </w:p>
        </w:tc>
        <w:tc>
          <w:tcPr>
            <w:tcW w:type="dxa" w:w="1550"/>
          </w:tcPr>
          <w:p>
            <w:pPr>
              <w:spacing w:after="0" w:line="240" w:lineRule="auto"/>
              <w:jc w:val="center"/>
            </w:pPr>
            <w:r/>
            <w:r>
              <w:rPr>
                <w:sz w:val="15"/>
              </w:rPr>
              <w:t>0.418† (0.473 ± 0.014)</w:t>
            </w:r>
          </w:p>
        </w:tc>
        <w:tc>
          <w:tcPr>
            <w:tcW w:type="dxa" w:w="1550"/>
          </w:tcPr>
          <w:p>
            <w:pPr>
              <w:spacing w:after="0" w:line="240" w:lineRule="auto"/>
              <w:jc w:val="center"/>
            </w:pPr>
            <w:r/>
            <w:r>
              <w:rPr>
                <w:sz w:val="15"/>
              </w:rPr>
              <w:t>0.688† (0.753 ± 0.021)</w:t>
            </w:r>
          </w:p>
        </w:tc>
        <w:tc>
          <w:tcPr>
            <w:tcW w:type="dxa" w:w="1550"/>
          </w:tcPr>
          <w:p>
            <w:pPr>
              <w:spacing w:after="0" w:line="240" w:lineRule="auto"/>
              <w:jc w:val="center"/>
            </w:pPr>
            <w:r/>
            <w:r>
              <w:rPr>
                <w:sz w:val="15"/>
              </w:rPr>
              <w:t>0.893† (0.880 ± 0.008)</w:t>
            </w:r>
          </w:p>
        </w:tc>
      </w:tr>
      <w:tr>
        <w:tc>
          <w:tcPr>
            <w:tcW w:type="dxa" w:w="1220"/>
            <w:tcBorders>
              <w:bottom w:val="single" w:sz="6" w:space="0" w:color="000000"/>
            </w:tcBorders>
          </w:tcPr>
          <w:p>
            <w:pPr>
              <w:spacing w:after="0" w:line="240" w:lineRule="auto"/>
              <w:jc w:val="left"/>
            </w:pPr>
            <w:r/>
            <w:r>
              <w:rPr>
                <w:sz w:val="15"/>
              </w:rPr>
            </w:r>
          </w:p>
        </w:tc>
        <w:tc>
          <w:tcPr>
            <w:tcW w:type="dxa" w:w="1938"/>
            <w:tcBorders>
              <w:bottom w:val="single" w:sz="6" w:space="0" w:color="000000"/>
            </w:tcBorders>
          </w:tcPr>
          <w:p>
            <w:pPr>
              <w:spacing w:after="0" w:line="240" w:lineRule="auto"/>
              <w:jc w:val="center"/>
            </w:pPr>
            <w:r/>
            <w:r>
              <w:rPr>
                <w:sz w:val="15"/>
              </w:rPr>
              <w:t>GraphMPNN (no site readout) (final)</w:t>
            </w:r>
          </w:p>
        </w:tc>
        <w:tc>
          <w:tcPr>
            <w:tcW w:type="dxa" w:w="1550"/>
            <w:tcBorders>
              <w:bottom w:val="single" w:sz="6" w:space="0" w:color="000000"/>
            </w:tcBorders>
          </w:tcPr>
          <w:p>
            <w:pPr>
              <w:spacing w:after="0" w:line="240" w:lineRule="auto"/>
              <w:jc w:val="center"/>
            </w:pPr>
            <w:r/>
            <w:r>
              <w:rPr>
                <w:b/>
                <w:sz w:val="15"/>
              </w:rPr>
              <w:t>0.950 (0.940 ± 0.002)</w:t>
            </w:r>
          </w:p>
        </w:tc>
        <w:tc>
          <w:tcPr>
            <w:tcW w:type="dxa" w:w="1550"/>
            <w:tcBorders>
              <w:bottom w:val="single" w:sz="6" w:space="0" w:color="000000"/>
            </w:tcBorders>
          </w:tcPr>
          <w:p>
            <w:pPr>
              <w:spacing w:after="0" w:line="240" w:lineRule="auto"/>
              <w:jc w:val="center"/>
            </w:pPr>
            <w:r/>
            <w:r>
              <w:rPr>
                <w:b/>
                <w:sz w:val="15"/>
              </w:rPr>
              <w:t>0.406 (0.461 ± 0.016)</w:t>
            </w:r>
          </w:p>
        </w:tc>
        <w:tc>
          <w:tcPr>
            <w:tcW w:type="dxa" w:w="1550"/>
            <w:tcBorders>
              <w:bottom w:val="single" w:sz="6" w:space="0" w:color="000000"/>
            </w:tcBorders>
          </w:tcPr>
          <w:p>
            <w:pPr>
              <w:spacing w:after="0" w:line="240" w:lineRule="auto"/>
              <w:jc w:val="center"/>
            </w:pPr>
            <w:r/>
            <w:r>
              <w:rPr>
                <w:b/>
                <w:sz w:val="15"/>
              </w:rPr>
              <w:t>0.654 (0.720 ± 0.013)</w:t>
            </w:r>
          </w:p>
        </w:tc>
        <w:tc>
          <w:tcPr>
            <w:tcW w:type="dxa" w:w="1550"/>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 w/o xTB features' is the final model with the xTB inputs zeroed.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1452"/>
            <w:tcBorders>
              <w:top w:val="single" w:sz="6" w:space="0" w:color="000000"/>
              <w:bottom w:val="single" w:sz="6" w:space="0" w:color="000000"/>
            </w:tcBorders>
          </w:tcPr>
          <w:p>
            <w:pPr>
              <w:spacing w:after="0" w:line="240" w:lineRule="auto"/>
              <w:jc w:val="left"/>
            </w:pPr>
            <w:r/>
            <w:r>
              <w:rPr>
                <w:b/>
                <w:sz w:val="15"/>
              </w:rPr>
              <w:t>Exposure</w:t>
            </w:r>
          </w:p>
        </w:tc>
        <w:tc>
          <w:tcPr>
            <w:tcW w:type="dxa" w:w="968"/>
            <w:tcBorders>
              <w:top w:val="single" w:sz="6" w:space="0" w:color="000000"/>
              <w:bottom w:val="single" w:sz="6" w:space="0" w:color="000000"/>
            </w:tcBorders>
          </w:tcPr>
          <w:p>
            <w:pPr>
              <w:spacing w:after="0" w:line="240" w:lineRule="auto"/>
              <w:jc w:val="center"/>
            </w:pPr>
            <w:r/>
            <w:r>
              <w:rPr>
                <w:b/>
                <w:sz w:val="15"/>
              </w:rPr>
              <w:t>Metric</w:t>
            </w:r>
          </w:p>
        </w:tc>
        <w:tc>
          <w:tcPr>
            <w:tcW w:type="dxa" w:w="2501"/>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501"/>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937"/>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52"/>
          </w:tcPr>
          <w:p>
            <w:pPr>
              <w:spacing w:after="0" w:line="240" w:lineRule="auto"/>
              <w:jc w:val="left"/>
            </w:pPr>
            <w:r/>
            <w:r>
              <w:rPr>
                <w:sz w:val="15"/>
              </w:rPr>
              <w:t>AUC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b/>
                <w:sz w:val="15"/>
              </w:rPr>
              <w:t>0.433 [0.234, 0.595]</w:t>
            </w:r>
          </w:p>
        </w:tc>
        <w:tc>
          <w:tcPr>
            <w:tcW w:type="dxa" w:w="2501"/>
          </w:tcPr>
          <w:p>
            <w:pPr>
              <w:spacing w:after="0" w:line="240" w:lineRule="auto"/>
              <w:jc w:val="center"/>
            </w:pPr>
            <w:r/>
            <w:r>
              <w:rPr>
                <w:sz w:val="15"/>
              </w:rPr>
              <w:t>0.411 [0.223, 0.569]</w:t>
            </w:r>
          </w:p>
        </w:tc>
        <w:tc>
          <w:tcPr>
            <w:tcW w:type="dxa" w:w="1937"/>
          </w:tcPr>
          <w:p>
            <w:pPr>
              <w:spacing w:after="0" w:line="240" w:lineRule="auto"/>
              <w:jc w:val="center"/>
            </w:pPr>
            <w:r/>
            <w:r>
              <w:rPr>
                <w:sz w:val="15"/>
              </w:rPr>
              <w:t>[−0.109, +0.058]</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1.969 [1.760, 2.238]</w:t>
            </w:r>
          </w:p>
        </w:tc>
        <w:tc>
          <w:tcPr>
            <w:tcW w:type="dxa" w:w="2501"/>
          </w:tcPr>
          <w:p>
            <w:pPr>
              <w:spacing w:after="0" w:line="240" w:lineRule="auto"/>
              <w:jc w:val="center"/>
            </w:pPr>
            <w:r/>
            <w:r>
              <w:rPr>
                <w:b/>
                <w:sz w:val="15"/>
              </w:rPr>
              <w:t>1.953 [1.732, 2.233]</w:t>
            </w:r>
          </w:p>
        </w:tc>
        <w:tc>
          <w:tcPr>
            <w:tcW w:type="dxa" w:w="1937"/>
          </w:tcPr>
          <w:p>
            <w:pPr>
              <w:spacing w:after="0" w:line="240" w:lineRule="auto"/>
              <w:jc w:val="center"/>
            </w:pPr>
            <w:r/>
            <w:r>
              <w:rPr>
                <w:sz w:val="15"/>
              </w:rPr>
              <w:t>[−0.121, +0.093]</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W2F</w:t>
            </w:r>
          </w:p>
        </w:tc>
        <w:tc>
          <w:tcPr>
            <w:tcW w:type="dxa" w:w="2501"/>
          </w:tcPr>
          <w:p>
            <w:pPr>
              <w:spacing w:after="0" w:line="240" w:lineRule="auto"/>
              <w:jc w:val="center"/>
            </w:pPr>
            <w:r/>
            <w:r>
              <w:rPr>
                <w:b/>
                <w:sz w:val="15"/>
              </w:rPr>
              <w:t>0.642 [0.547, 0.726]</w:t>
            </w:r>
          </w:p>
        </w:tc>
        <w:tc>
          <w:tcPr>
            <w:tcW w:type="dxa" w:w="2501"/>
          </w:tcPr>
          <w:p>
            <w:pPr>
              <w:spacing w:after="0" w:line="240" w:lineRule="auto"/>
              <w:jc w:val="center"/>
            </w:pPr>
            <w:r/>
            <w:r>
              <w:rPr>
                <w:sz w:val="15"/>
              </w:rPr>
              <w:t>0.613 [0.519, 0.708]</w:t>
            </w:r>
          </w:p>
        </w:tc>
        <w:tc>
          <w:tcPr>
            <w:tcW w:type="dxa" w:w="1937"/>
          </w:tcPr>
          <w:p>
            <w:pPr>
              <w:spacing w:after="0" w:line="240" w:lineRule="auto"/>
              <w:jc w:val="center"/>
            </w:pPr>
            <w:r/>
            <w:r>
              <w:rPr>
                <w:sz w:val="15"/>
              </w:rPr>
              <w:t>[−0.104, +0.047]</w:t>
            </w:r>
          </w:p>
        </w:tc>
      </w:tr>
      <w:tr>
        <w:tc>
          <w:tcPr>
            <w:tcW w:type="dxa" w:w="1452"/>
          </w:tcPr>
          <w:p>
            <w:pPr>
              <w:spacing w:after="0" w:line="240" w:lineRule="auto"/>
              <w:jc w:val="left"/>
            </w:pPr>
            <w:r/>
            <w:r>
              <w:rPr>
                <w:sz w:val="15"/>
              </w:rPr>
              <w:t>Cmax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sz w:val="15"/>
              </w:rPr>
              <w:t>0.572 [0.415, 0.686]</w:t>
            </w:r>
          </w:p>
        </w:tc>
        <w:tc>
          <w:tcPr>
            <w:tcW w:type="dxa" w:w="2501"/>
          </w:tcPr>
          <w:p>
            <w:pPr>
              <w:spacing w:after="0" w:line="240" w:lineRule="auto"/>
              <w:jc w:val="center"/>
            </w:pPr>
            <w:r/>
            <w:r>
              <w:rPr>
                <w:b/>
                <w:sz w:val="15"/>
              </w:rPr>
              <w:t>0.615 [0.441, 0.741]</w:t>
            </w:r>
          </w:p>
        </w:tc>
        <w:tc>
          <w:tcPr>
            <w:tcW w:type="dxa" w:w="1937"/>
          </w:tcPr>
          <w:p>
            <w:pPr>
              <w:spacing w:after="0" w:line="240" w:lineRule="auto"/>
              <w:jc w:val="center"/>
            </w:pPr>
            <w:r/>
            <w:r>
              <w:rPr>
                <w:sz w:val="15"/>
              </w:rPr>
              <w:t>[−0.043, +0.122]</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1.872 [1.695, 2.079]</w:t>
            </w:r>
          </w:p>
        </w:tc>
        <w:tc>
          <w:tcPr>
            <w:tcW w:type="dxa" w:w="2501"/>
          </w:tcPr>
          <w:p>
            <w:pPr>
              <w:spacing w:after="0" w:line="240" w:lineRule="auto"/>
              <w:jc w:val="center"/>
            </w:pPr>
            <w:r/>
            <w:r>
              <w:rPr>
                <w:b/>
                <w:sz w:val="15"/>
              </w:rPr>
              <w:t>1.774 [1.606, 1.976]</w:t>
            </w:r>
          </w:p>
        </w:tc>
        <w:tc>
          <w:tcPr>
            <w:tcW w:type="dxa" w:w="1937"/>
          </w:tcPr>
          <w:p>
            <w:pPr>
              <w:spacing w:after="0" w:line="240" w:lineRule="auto"/>
              <w:jc w:val="center"/>
            </w:pPr>
            <w:r/>
            <w:r>
              <w:rPr>
                <w:sz w:val="15"/>
              </w:rPr>
              <w:t>[−0.228, +0.034]</w:t>
            </w:r>
          </w:p>
        </w:tc>
      </w:tr>
      <w:tr>
        <w:tc>
          <w:tcPr>
            <w:tcW w:type="dxa" w:w="1452"/>
            <w:tcBorders>
              <w:bottom w:val="single" w:sz="6" w:space="0" w:color="000000"/>
            </w:tcBorders>
          </w:tcPr>
          <w:p>
            <w:pPr>
              <w:spacing w:after="0" w:line="240" w:lineRule="auto"/>
              <w:jc w:val="left"/>
            </w:pPr>
            <w:r/>
            <w:r>
              <w:rPr>
                <w:sz w:val="15"/>
              </w:rPr>
            </w:r>
          </w:p>
        </w:tc>
        <w:tc>
          <w:tcPr>
            <w:tcW w:type="dxa" w:w="968"/>
            <w:tcBorders>
              <w:bottom w:val="single" w:sz="6" w:space="0" w:color="000000"/>
            </w:tcBorders>
          </w:tcPr>
          <w:p>
            <w:pPr>
              <w:spacing w:after="0" w:line="240" w:lineRule="auto"/>
              <w:jc w:val="center"/>
            </w:pPr>
            <w:r/>
            <w:r>
              <w:rPr>
                <w:sz w:val="15"/>
              </w:rPr>
              <w:t>W2F</w:t>
            </w:r>
          </w:p>
        </w:tc>
        <w:tc>
          <w:tcPr>
            <w:tcW w:type="dxa" w:w="2501"/>
            <w:tcBorders>
              <w:bottom w:val="single" w:sz="6" w:space="0" w:color="000000"/>
            </w:tcBorders>
          </w:tcPr>
          <w:p>
            <w:pPr>
              <w:spacing w:after="0" w:line="240" w:lineRule="auto"/>
              <w:jc w:val="center"/>
            </w:pPr>
            <w:r/>
            <w:r>
              <w:rPr>
                <w:sz w:val="15"/>
              </w:rPr>
              <w:t>0.632 [0.538, 0.717]</w:t>
            </w:r>
          </w:p>
        </w:tc>
        <w:tc>
          <w:tcPr>
            <w:tcW w:type="dxa" w:w="2501"/>
            <w:tcBorders>
              <w:bottom w:val="single" w:sz="6" w:space="0" w:color="000000"/>
            </w:tcBorders>
          </w:tcPr>
          <w:p>
            <w:pPr>
              <w:spacing w:after="0" w:line="240" w:lineRule="auto"/>
              <w:jc w:val="center"/>
            </w:pPr>
            <w:r/>
            <w:r>
              <w:rPr>
                <w:b/>
                <w:sz w:val="15"/>
              </w:rPr>
              <w:t>0.689 [0.594, 0.774]</w:t>
            </w:r>
          </w:p>
        </w:tc>
        <w:tc>
          <w:tcPr>
            <w:tcW w:type="dxa" w:w="1937"/>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10" name="Picture 10"/>
            <wp:cNvGraphicFramePr>
              <a:graphicFrameLocks noChangeAspect="1"/>
            </wp:cNvGraphicFramePr>
            <a:graphic>
              <a:graphicData uri="http://schemas.openxmlformats.org/drawingml/2006/picture">
                <pic:pic>
                  <pic:nvPicPr>
                    <pic:cNvPr id="0" name="fig6_downstream.png"/>
                    <pic:cNvPicPr/>
                  </pic:nvPicPr>
                  <pic:blipFill>
                    <a:blip r:embed="rId18"/>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A. Rawal, J. Ou, H. Zhu, Z. Sauna, and M. A. Tegenge, “Utilization of Machine Learning Approaches for Drug Clearance Prediction and Population Pharmacokinetic Covariate Analysis,” Clinical and Translational Science, vol. 18, no. 9, 2025, doi: 10.1111/cts.70359.</w:t>
      </w:r>
    </w:p>
    <w:p>
      <w:pPr>
        <w:spacing w:after="40"/>
        <w:ind w:left="432" w:hanging="432"/>
      </w:pPr>
      <w:r>
        <w:rPr>
          <w:sz w:val="17"/>
        </w:rPr>
        <w:t xml:space="preserve">[4] </w:t>
      </w:r>
      <w:r>
        <w:rPr>
          <w:sz w:val="17"/>
        </w:rPr>
        <w:t>J. Stephenson, and K. R. Karnati, “Recent trends in machine learning and deep learning-based prediction of G-protein coupled receptor-ligand binding affinities,” Frontiers in Bioinformatics, vol. 5, 2026, doi: 10.3389/fbinf.2025.1712577.</w:t>
      </w:r>
    </w:p>
    <w:p>
      <w:pPr>
        <w:spacing w:after="40"/>
        <w:ind w:left="432" w:hanging="432"/>
      </w:pPr>
      <w:r>
        <w:rPr>
          <w:sz w:val="17"/>
        </w:rPr>
        <w:t xml:space="preserve">[5]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[6]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[7]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[8]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[9]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[10]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[11]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[12] </w:t>
      </w:r>
      <w:r>
        <w:rPr>
          <w:sz w:val="17"/>
        </w:rPr>
        <w:t>S. Pore, and K. Roy, “Insights into pharmacokinetic properties for exposure chemicals: predictive modelling of human plasma fraction unbound ( &lt;i&gt;f&lt;/i&gt; &lt;sub&gt;u&lt;/sub&gt; ) and hepatocyte intrinsic clearance (Cl &lt;sub&gt;int&lt;/sub&gt; ) data using machine learning,” Digital Discovery, vol. 3, no. 9, pp. 1852-1877, 2024, doi: 10.1039/d4dd00082j.</w:t>
      </w:r>
    </w:p>
    <w:p>
      <w:pPr>
        <w:spacing w:after="40"/>
        <w:ind w:left="432" w:hanging="432"/>
      </w:pPr>
      <w:r>
        <w:rPr>
          <w:sz w:val="17"/>
        </w:rPr>
        <w:t xml:space="preserve">[13] </w:t>
      </w:r>
      <w:r>
        <w:rPr>
          <w:sz w:val="17"/>
        </w:rPr>
        <w:t>T. Miyake, and H. Tsutsui, “Quantitative prediction of human pharmacokinetic drug-drug interactions and drug clearance using humanized liver chimeric mice: a review,” Drug Metabolism and Pharmacokinetics, vol. 67, pp. 101517, 2026, doi: 10.1016/j.dmpk.2026.101517.</w:t>
      </w:r>
    </w:p>
    <w:p>
      <w:pPr>
        <w:spacing w:after="40"/>
        <w:ind w:left="432" w:hanging="432"/>
      </w:pPr>
      <w:r>
        <w:rPr>
          <w:sz w:val="17"/>
        </w:rPr>
        <w:t xml:space="preserve">[14]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[15]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[16]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[17]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[18]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[19]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[20]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[21] </w:t>
      </w:r>
      <w:r>
        <w:rPr>
          <w:sz w:val="17"/>
        </w:rPr>
        <w:t>X. Zang, X. Zhao, and B. Tang, “Hierarchical Molecular Graph Self-Supervised Learning for property prediction,” Communications Chemistry, vol. 6, no. 1, 2023, doi: 10.1038/s42004-023-00825-5.</w:t>
      </w:r>
    </w:p>
    <w:p>
      <w:pPr>
        <w:spacing w:after="40"/>
        <w:ind w:left="432" w:hanging="432"/>
      </w:pPr>
      <w:r>
        <w:rPr>
          <w:sz w:val="17"/>
        </w:rPr>
        <w:t xml:space="preserve">[22] </w:t>
      </w:r>
      <w:r>
        <w:rPr>
          <w:sz w:val="17"/>
        </w:rPr>
        <w:t>B. Kwak, J. Park, T. Kang, J. Jo, B. Lee, and S. Yoon, “GeoT: A Geometry-Aware Transformer for Reliable Molecular Property Prediction and Chemically Interpretable Representation Learning,” ACS Omega, vol. 8, no. 42, pp. 39759-39769, 2023, doi: 10.1021/acsomega.3c05753.</w:t>
      </w:r>
    </w:p>
    <w:p>
      <w:pPr>
        <w:spacing w:after="40"/>
        <w:ind w:left="432" w:hanging="432"/>
      </w:pPr>
      <w:r>
        <w:rPr>
          <w:sz w:val="17"/>
        </w:rPr>
        <w:t xml:space="preserve">[23] </w:t>
      </w:r>
      <w:r>
        <w:rPr>
          <w:sz w:val="17"/>
        </w:rPr>
        <w:t>M. Proietti, A. Ragno, B. L. Rosa, R. Ragno, and R. Capobianco, “Explainable AI in drug discovery: self-interpretable graph neural network for molecular property prediction using concept whitening,” Machine Learning, vol. 113, no. 4, pp. 2013-2044, 2024, doi: 10.1007/s10994-023-06369-y.</w:t>
      </w:r>
    </w:p>
    <w:p>
      <w:pPr>
        <w:spacing w:after="40"/>
        <w:ind w:left="432" w:hanging="432"/>
      </w:pPr>
      <w:r>
        <w:rPr>
          <w:sz w:val="17"/>
        </w:rPr>
        <w:t xml:space="preserve">[24]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[25] </w:t>
      </w:r>
      <w:r>
        <w:rPr>
          <w:sz w:val="17"/>
        </w:rPr>
        <w:t>C. I. Yang, and Y. P. Li, “Explainable uncertainty quantifications for deep learning-based molecular property prediction,” Journal of Cheminformatics, vol. 15, no. 1, 2023, doi: 10.1186/s13321-023-00682-3.</w:t>
      </w:r>
    </w:p>
    <w:p>
      <w:pPr>
        <w:spacing w:after="40"/>
        <w:ind w:left="432" w:hanging="432"/>
      </w:pPr>
      <w:r>
        <w:rPr>
          <w:sz w:val="17"/>
        </w:rPr>
        <w:t xml:space="preserve">[26]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[27]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[28]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[29]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p>
      <w:pPr>
        <w:spacing w:after="40"/>
        <w:ind w:left="432" w:hanging="432"/>
      </w:pPr>
      <w:r>
        <w:rPr>
          <w:sz w:val="17"/>
        </w:rPr>
        <w:t xml:space="preserve">[30] </w:t>
      </w:r>
      <w:r>
        <w:rPr>
          <w:sz w:val="17"/>
        </w:rPr>
        <w:t>E. Xerxa, M. Vogt, and J. Bajorath, “Influence of Data Curation and Confidence Levels on Compound Predictions Using Machine Learning Models,” Journal of Chemical Information and Modeling, vol. 64, no. 24, pp. 9341-9349, 2024, doi: 10.1021/acs.jcim.4c01573.</w:t>
      </w:r>
    </w:p>
    <w:p>
      <w:pPr>
        <w:spacing w:after="40"/>
        <w:ind w:left="432" w:hanging="432"/>
      </w:pPr>
      <w:r>
        <w:rPr>
          <w:sz w:val="17"/>
        </w:rPr>
        <w:t xml:space="preserve">[31] </w:t>
      </w:r>
      <w:r>
        <w:rPr>
          <w:sz w:val="17"/>
        </w:rPr>
        <w:t>V. R. C. Palacharla, R. Nirogi, N. Kumar, and K. Nandakumar, “Determination of Intrinsic Clearance and Fraction Unbound in Human Liver Microsomes and In Vitro-In Vivo Extrapolation of Human Hepatic Clearance for Marketed Central Nervous System Drugs,” European Journal of Drug Metabolism and Pharmacokinetics, vol. 50, no. 2, pp. 119-135, 2025, doi: 10.1007/s13318-024-00931-2.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