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 Results</w:t>
      </w:r>
    </w:p>
    <w:p>
      <w:pPr>
        <w:jc w:val="both"/>
      </w:pPr>
      <w:r>
        <w:rPr>
          <w:b/>
          <w:i w:val="0"/>
          <w:color w:val="C00000"/>
          <w:sz w:val="16"/>
        </w:rPr>
        <w:t>[Draft – Results section only. Section number, reference numbers and cross-references to the Methods/Experiments sections are placeholders to be aligned with the full manuscript.]</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 and II report the 10-seed ensemble performance of the proposed models, and Fig. 1 shows the corresponding parity plots. On pKa, GraphMPNN achieves an ensemble R² of 0.969 (95% CI 0.956–0.979) and an MAE of 0.424 pKa units on the acidic test set (n = 776), and an R² of 0.948 (0.934–0.959) with an MAE of 0.416 on the basic test set (n = 815). 91.0% and 89.9%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0.948 [0.934, 0.959]</w:t>
            </w:r>
          </w:p>
        </w:tc>
        <w:tc>
          <w:tcPr>
            <w:tcW w:type="dxa" w:w="1872"/>
          </w:tcPr>
          <w:p>
            <w:pPr>
              <w:spacing w:after="0" w:line="240" w:lineRule="auto"/>
              <w:jc w:val="center"/>
            </w:pPr>
            <w:r/>
            <w:r>
              <w:rPr>
                <w:sz w:val="15"/>
              </w:rPr>
              <w:t>0.937 ± 0.003</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0.416 [0.381, 0.452]</w:t>
            </w:r>
          </w:p>
        </w:tc>
        <w:tc>
          <w:tcPr>
            <w:tcW w:type="dxa" w:w="1872"/>
          </w:tcPr>
          <w:p>
            <w:pPr>
              <w:spacing w:after="0" w:line="240" w:lineRule="auto"/>
              <w:jc w:val="center"/>
            </w:pPr>
            <w:r/>
            <w:r>
              <w:rPr>
                <w:sz w:val="15"/>
              </w:rPr>
              <w:t>0.472 ± 0.010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0.670 [0.591, 0.756]</w:t>
            </w:r>
          </w:p>
        </w:tc>
        <w:tc>
          <w:tcPr>
            <w:tcW w:type="dxa" w:w="1872"/>
          </w:tcPr>
          <w:p>
            <w:pPr>
              <w:spacing w:after="0" w:line="240" w:lineRule="auto"/>
              <w:jc w:val="center"/>
            </w:pPr>
            <w:r/>
            <w:r>
              <w:rPr>
                <w:sz w:val="15"/>
              </w:rPr>
              <w:t>0.736 ± 0.016</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0.899 [0.879, 0.919]</w:t>
            </w:r>
          </w:p>
        </w:tc>
        <w:tc>
          <w:tcPr>
            <w:tcW w:type="dxa" w:w="1872"/>
            <w:tcBorders>
              <w:bottom w:val="single" w:sz="6" w:space="0" w:color="000000"/>
            </w:tcBorders>
          </w:tcPr>
          <w:p>
            <w:pPr>
              <w:spacing w:after="0" w:line="240" w:lineRule="auto"/>
              <w:jc w:val="center"/>
            </w:pPr>
            <w:r/>
            <w:r>
              <w:rPr>
                <w:sz w:val="15"/>
              </w:rPr>
              <w:t>0.885 ± 0.009</w:t>
            </w:r>
          </w:p>
        </w:tc>
      </w:tr>
    </w:tbl>
    <w:p>
      <w:pPr>
        <w:spacing w:after="0"/>
      </w:pPr>
      <w:r>
        <w:rPr>
          <w:sz w:val="14"/>
        </w:rPr>
        <w:t>Ensemble: mean prediction of 10 seeds; CI: compound-level bootstrap, B = 10 000. Seed mean ± SD over the 10 individually trained seeds. MAE and RMSE in pKa units; W1: fraction within 1 pKa unit.</w:t>
      </w:r>
    </w:p>
    <w:p>
      <w:pPr>
        <w:spacing w:after="40"/>
      </w:pPr>
    </w:p>
    <w:p>
      <w:pPr>
        <w:keepNext/>
        <w:jc w:val="center"/>
      </w:pPr>
      <w:r>
        <w:rPr>
          <w:smallCaps/>
          <w:sz w:val="16"/>
        </w:rPr>
        <w:t>Table II</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w:t>
      </w:r>
    </w:p>
    <w:p>
      <w:pPr>
        <w:spacing w:after="40"/>
      </w:pPr>
    </w:p>
    <w:p>
      <w:pPr>
        <w:jc w:val="center"/>
      </w:pPr>
      <w:r>
        <w:drawing>
          <wp:inline xmlns:a="http://schemas.openxmlformats.org/drawingml/2006/main" xmlns:pic="http://schemas.openxmlformats.org/drawingml/2006/picture">
            <wp:extent cx="5943600" cy="1493891"/>
            <wp:docPr id="1" name="Picture 1"/>
            <wp:cNvGraphicFramePr>
              <a:graphicFrameLocks noChangeAspect="1"/>
            </wp:cNvGraphicFramePr>
            <a:graphic>
              <a:graphicData uri="http://schemas.openxmlformats.org/drawingml/2006/picture">
                <pic:pic>
                  <pic:nvPicPr>
                    <pic:cNvPr id="0" name="fig1_parity.png"/>
                    <pic:cNvPicPr/>
                  </pic:nvPicPr>
                  <pic:blipFill>
                    <a:blip r:embed="rId9"/>
                    <a:stretch>
                      <a:fillRect/>
                    </a:stretch>
                  </pic:blipFill>
                  <pic:spPr>
                    <a:xfrm>
                      <a:off x="0" y="0"/>
                      <a:ext cx="5943600" cy="1493891"/>
                    </a:xfrm>
                    <a:prstGeom prst="rect"/>
                  </pic:spPr>
                </pic:pic>
              </a:graphicData>
            </a:graphic>
          </wp:inline>
        </w:drawing>
      </w:r>
    </w:p>
    <w:p>
      <w:pPr>
        <w:jc w:val="both"/>
      </w:pPr>
      <w:r>
        <w:rPr>
          <w:sz w:val="16"/>
        </w:rPr>
        <w:t xml:space="preserve">Fig. 1. </w:t>
      </w:r>
      <w:r>
        <w:rPr>
          <w:sz w:val="16"/>
        </w:rPr>
        <w:t>Predicted versus observed values on the official test sets for the proposed models (10-seed ensemble). The solid line is the identity; the shaded band marks ±1 pKa unit (pKa) or two-fold error (CL, VDss, Fu). Inset metrics are ensemble values from Tables I and II.</w:t>
      </w:r>
    </w:p>
    <w:p>
      <w:pPr>
        <w:pStyle w:val="Heading2"/>
      </w:pPr>
      <w:r>
        <w:t>B. Comparison With the Published Benchmark</w:t>
      </w:r>
    </w:p>
    <w:p>
      <w:pPr>
        <w:jc w:val="both"/>
      </w:pPr>
      <w:r>
        <w:rPr>
          <w:b w:val="0"/>
          <w:i w:val="0"/>
        </w:rPr>
        <w:t xml:space="preserve">Table III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The benchmark reports point estimates only, so a paired test against it is not possible; instead, we report whether the published value lies inside the bootstrap 95% CI of the ensemble metric. Fig. 2 shows the relative differences.</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0.416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III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0.948 [0.934, 0.959]</w:t>
            </w:r>
          </w:p>
        </w:tc>
        <w:tc>
          <w:tcPr>
            <w:tcW w:type="dxa" w:w="1224"/>
          </w:tcPr>
          <w:p>
            <w:pPr>
              <w:spacing w:after="0" w:line="240" w:lineRule="auto"/>
              <w:jc w:val="center"/>
            </w:pPr>
            <w:r/>
            <w:r>
              <w:rPr>
                <w:sz w:val="15"/>
              </w:rPr>
              <w:t>+0.038</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0.416 [0.381, 0.452]</w:t>
            </w:r>
          </w:p>
        </w:tc>
        <w:tc>
          <w:tcPr>
            <w:tcW w:type="dxa" w:w="1224"/>
          </w:tcPr>
          <w:p>
            <w:pPr>
              <w:spacing w:after="0" w:line="240" w:lineRule="auto"/>
              <w:jc w:val="center"/>
            </w:pPr>
            <w:r/>
            <w:r>
              <w:rPr>
                <w:sz w:val="15"/>
              </w:rPr>
              <w:t>−0.254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0.472</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0.670 [0.591, 0.756]</w:t>
            </w:r>
          </w:p>
        </w:tc>
        <w:tc>
          <w:tcPr>
            <w:tcW w:type="dxa" w:w="1224"/>
          </w:tcPr>
          <w:p>
            <w:pPr>
              <w:spacing w:after="0" w:line="240" w:lineRule="auto"/>
              <w:jc w:val="center"/>
            </w:pPr>
            <w:r/>
            <w:r>
              <w:rPr>
                <w:sz w:val="15"/>
              </w:rPr>
              <w:t>−0.310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0.736</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2" name="Picture 2"/>
            <wp:cNvGraphicFramePr>
              <a:graphicFrameLocks noChangeAspect="1"/>
            </wp:cNvGraphicFramePr>
            <a:graphic>
              <a:graphicData uri="http://schemas.openxmlformats.org/drawingml/2006/picture">
                <pic:pic>
                  <pic:nvPicPr>
                    <pic:cNvPr id="0" name="fig2_vs_paper.png"/>
                    <pic:cNvPicPr/>
                  </pic:nvPicPr>
                  <pic:blipFill>
                    <a:blip r:embed="rId10"/>
                    <a:stretch>
                      <a:fillRect/>
                    </a:stretch>
                  </pic:blipFill>
                  <pic:spPr>
                    <a:xfrm>
                      <a:off x="0" y="0"/>
                      <a:ext cx="3108960" cy="3201765"/>
                    </a:xfrm>
                    <a:prstGeom prst="rect"/>
                  </pic:spPr>
                </pic:pic>
              </a:graphicData>
            </a:graphic>
          </wp:inline>
        </w:drawing>
      </w:r>
    </w:p>
    <w:p>
      <w:pPr>
        <w:jc w:val="both"/>
      </w:pPr>
      <w:r>
        <w:rPr>
          <w:sz w:val="16"/>
        </w:rPr>
        <w:t xml:space="preserve">Fig. 2.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Comparison With Untuned Classical Baselines</w:t>
      </w:r>
    </w:p>
    <w:p>
      <w:pPr>
        <w:jc w:val="both"/>
      </w:pPr>
      <w:r>
        <w:rPr>
          <w:b w:val="0"/>
          <w:i w:val="0"/>
        </w:rPr>
        <w:t>Table IV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3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0.416).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IV</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0.948</w:t>
            </w:r>
          </w:p>
        </w:tc>
        <w:tc>
          <w:tcPr>
            <w:tcW w:type="dxa" w:w="1584"/>
          </w:tcPr>
          <w:p>
            <w:pPr>
              <w:spacing w:after="0" w:line="240" w:lineRule="auto"/>
              <w:jc w:val="center"/>
            </w:pPr>
            <w:r/>
            <w:r>
              <w:rPr>
                <w:b/>
                <w:sz w:val="15"/>
              </w:rPr>
              <w:t>0.416</w:t>
            </w:r>
          </w:p>
        </w:tc>
        <w:tc>
          <w:tcPr>
            <w:tcW w:type="dxa" w:w="1584"/>
          </w:tcPr>
          <w:p>
            <w:pPr>
              <w:spacing w:after="0" w:line="240" w:lineRule="auto"/>
              <w:jc w:val="center"/>
            </w:pPr>
            <w:r/>
            <w:r>
              <w:rPr>
                <w:b/>
                <w:sz w:val="15"/>
              </w:rPr>
              <w:t>0.670</w:t>
            </w:r>
          </w:p>
        </w:tc>
        <w:tc>
          <w:tcPr>
            <w:tcW w:type="dxa" w:w="1584"/>
          </w:tcPr>
          <w:p>
            <w:pPr>
              <w:spacing w:after="0" w:line="240" w:lineRule="auto"/>
              <w:jc w:val="center"/>
            </w:pPr>
            <w:r/>
            <w:r>
              <w:rPr>
                <w:b/>
                <w:sz w:val="15"/>
              </w:rPr>
              <w:t>0.899</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3" name="Picture 3"/>
            <wp:cNvGraphicFramePr>
              <a:graphicFrameLocks noChangeAspect="1"/>
            </wp:cNvGraphicFramePr>
            <a:graphic>
              <a:graphicData uri="http://schemas.openxmlformats.org/drawingml/2006/picture">
                <pic:pic>
                  <pic:nvPicPr>
                    <pic:cNvPr id="0" name="fig3_baselines.png"/>
                    <pic:cNvPicPr/>
                  </pic:nvPicPr>
                  <pic:blipFill>
                    <a:blip r:embed="rId11"/>
                    <a:stretch>
                      <a:fillRect/>
                    </a:stretch>
                  </pic:blipFill>
                  <pic:spPr>
                    <a:xfrm>
                      <a:off x="0" y="0"/>
                      <a:ext cx="5943600" cy="1711802"/>
                    </a:xfrm>
                    <a:prstGeom prst="rect"/>
                  </pic:spPr>
                </pic:pic>
              </a:graphicData>
            </a:graphic>
          </wp:inline>
        </w:drawing>
      </w:r>
    </w:p>
    <w:p>
      <w:pPr>
        <w:jc w:val="both"/>
      </w:pPr>
      <w:r>
        <w:rPr>
          <w:sz w:val="16"/>
        </w:rPr>
        <w:t xml:space="preserve">Fig. 3.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D. Ablation Study</w:t>
      </w:r>
    </w:p>
    <w:p>
      <w:pPr>
        <w:jc w:val="both"/>
      </w:pPr>
      <w:r>
        <w:rPr>
          <w:b w:val="0"/>
          <w:i w:val="0"/>
        </w:rPr>
        <w:t>Table V reports a 10-seed ablation of the MFMN family on CL and VDss, retrained under the same protocol and test split as the final models. For each endpoint, the final model is compared with the base MFMN (no auxiliary supervision and no dynamic gating) and with the alternative MFMN variant that differs only in the gating mechanism (MFMN-InteractAux for CL; MFMN-DynGate for VDss). Fig. 4 shows the per-seed GMFE distributions.</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V</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II;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3108960" cy="1866579"/>
                    </a:xfrm>
                    <a:prstGeom prst="rect"/>
                  </pic:spPr>
                </pic:pic>
              </a:graphicData>
            </a:graphic>
          </wp:inline>
        </w:drawing>
      </w:r>
    </w:p>
    <w:p>
      <w:pPr>
        <w:jc w:val="both"/>
      </w:pPr>
      <w:r>
        <w:rPr>
          <w:sz w:val="16"/>
        </w:rPr>
        <w:t xml:space="preserve">Fig. 4. </w:t>
      </w:r>
      <w:r>
        <w:rPr>
          <w:sz w:val="16"/>
        </w:rPr>
        <w:t>Per-seed test GMFE (dots, n = 10 per variant) and 10-seed ensemble GMFE (horizontal bar) for the MFMN ablation on CL and VDss. Lower is better.</w:t>
      </w:r>
    </w:p>
    <w:p>
      <w:pPr>
        <w:jc w:val="both"/>
      </w:pPr>
      <w:r>
        <w:rPr>
          <w:b w:val="0"/>
          <w:i w:val="0"/>
        </w:rPr>
        <w:t>Ablation of GraphMPNN (pKa) and of the Fu recipe is not yet complete. Table VI is a placeholder for the 10-seed GraphMPNN ablation, in which the xTB-derived features, the edge gating and the ionizable-site readout are removed one at a time; these runs are in progress.</w:t>
      </w:r>
    </w:p>
    <w:p>
      <w:pPr>
        <w:jc w:val="both"/>
      </w:pPr>
      <w:r>
        <w:rPr>
          <w:b/>
          <w:i w:val="0"/>
          <w:color w:val="C00000"/>
          <w:sz w:val="17"/>
        </w:rPr>
        <w:t>[PENDING: 10-seed GraphMPNN ablation (no xTB features, no edge gating, no site readout) for pKa (acidic) and pKa (basic). Note for authors: the code that produced the original single-seed ablation rows is not in the project; the variants were reconstructed and should be verified before these results are reported.]</w:t>
      </w:r>
    </w:p>
    <w:p>
      <w:pPr>
        <w:jc w:val="both"/>
      </w:pPr>
      <w:r>
        <w:rPr>
          <w:b/>
          <w:i w:val="0"/>
          <w:color w:val="C00000"/>
          <w:sz w:val="17"/>
        </w:rPr>
        <w:t>[NEEDS: Fu ablation. The 10-seed Fu ablation (unweighted MFMN-DynGate; untuned base MFMN) did not pass the seed-42 reproduction check against the stored single-seed results and was not run. Either report the Fu ablation from a re-established protocol or state its absence in Limitations.]</w:t>
      </w:r>
    </w:p>
    <w:p>
      <w:pPr>
        <w:keepNext/>
        <w:jc w:val="center"/>
      </w:pPr>
      <w:r>
        <w:rPr>
          <w:smallCaps/>
          <w:sz w:val="16"/>
        </w:rPr>
        <w:t>Table VI</w:t>
        <w:br/>
      </w:r>
      <w:r>
        <w:rPr>
          <w:sz w:val="16"/>
        </w:rPr>
        <w:t>Ablation of GraphMPNN on pKa (10 seeds) — placeholder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Endpoint</w:t>
            </w:r>
          </w:p>
        </w:tc>
        <w:tc>
          <w:tcPr>
            <w:tcW w:type="dxa" w:w="2160"/>
            <w:tcBorders>
              <w:top w:val="single" w:sz="6" w:space="0" w:color="000000"/>
              <w:bottom w:val="single" w:sz="6" w:space="0" w:color="000000"/>
            </w:tcBorders>
          </w:tcPr>
          <w:p>
            <w:pPr>
              <w:spacing w:after="0" w:line="240" w:lineRule="auto"/>
              <w:jc w:val="center"/>
            </w:pPr>
            <w:r/>
            <w:r>
              <w:rPr>
                <w:b/>
                <w:sz w:val="15"/>
              </w:rPr>
              <w:t>Variant</w:t>
            </w:r>
          </w:p>
        </w:tc>
        <w:tc>
          <w:tcPr>
            <w:tcW w:type="dxa" w:w="2016"/>
            <w:tcBorders>
              <w:top w:val="single" w:sz="6" w:space="0" w:color="000000"/>
              <w:bottom w:val="single" w:sz="6" w:space="0" w:color="000000"/>
            </w:tcBorders>
          </w:tcPr>
          <w:p>
            <w:pPr>
              <w:spacing w:after="0" w:line="240" w:lineRule="auto"/>
              <w:jc w:val="center"/>
            </w:pPr>
            <w:r/>
            <w:r>
              <w:rPr>
                <w:b/>
                <w:sz w:val="15"/>
              </w:rPr>
              <w:t>R²</w:t>
            </w:r>
          </w:p>
        </w:tc>
        <w:tc>
          <w:tcPr>
            <w:tcW w:type="dxa" w:w="2016"/>
            <w:tcBorders>
              <w:top w:val="single" w:sz="6" w:space="0" w:color="000000"/>
              <w:bottom w:val="single" w:sz="6" w:space="0" w:color="000000"/>
            </w:tcBorders>
          </w:tcPr>
          <w:p>
            <w:pPr>
              <w:spacing w:after="0" w:line="240" w:lineRule="auto"/>
              <w:jc w:val="center"/>
            </w:pPr>
            <w:r/>
            <w:r>
              <w:rPr>
                <w:b/>
                <w:sz w:val="15"/>
              </w:rPr>
              <w:t>MAE</w:t>
            </w:r>
          </w:p>
        </w:tc>
        <w:tc>
          <w:tcPr>
            <w:tcW w:type="dxa" w:w="2016"/>
            <w:tcBorders>
              <w:top w:val="single" w:sz="6" w:space="0" w:color="000000"/>
              <w:bottom w:val="single" w:sz="6" w:space="0" w:color="000000"/>
            </w:tcBorders>
          </w:tcPr>
          <w:p>
            <w:pPr>
              <w:spacing w:after="0" w:line="240" w:lineRule="auto"/>
              <w:jc w:val="center"/>
            </w:pPr>
            <w:r/>
            <w:r>
              <w:rPr>
                <w:b/>
                <w:sz w:val="15"/>
              </w:rPr>
              <w:t>RMSE</w:t>
            </w:r>
          </w:p>
        </w:tc>
      </w:tr>
      <w:tr>
        <w:tc>
          <w:tcPr>
            <w:tcW w:type="dxa" w:w="1296"/>
          </w:tcPr>
          <w:p>
            <w:pPr>
              <w:spacing w:after="0" w:line="240" w:lineRule="auto"/>
              <w:jc w:val="left"/>
            </w:pPr>
            <w:r/>
            <w:r>
              <w:rPr>
                <w:sz w:val="15"/>
              </w:rPr>
              <w:t>pKa (acidic)</w:t>
            </w:r>
          </w:p>
        </w:tc>
        <w:tc>
          <w:tcPr>
            <w:tcW w:type="dxa" w:w="2160"/>
          </w:tcPr>
          <w:p>
            <w:pPr>
              <w:spacing w:after="0" w:line="240" w:lineRule="auto"/>
              <w:jc w:val="center"/>
            </w:pPr>
            <w:r/>
            <w:r>
              <w:rPr>
                <w:sz w:val="15"/>
              </w:rPr>
              <w:t>GraphMPNN (final)</w:t>
            </w:r>
          </w:p>
        </w:tc>
        <w:tc>
          <w:tcPr>
            <w:tcW w:type="dxa" w:w="2016"/>
          </w:tcPr>
          <w:p>
            <w:pPr>
              <w:spacing w:after="0" w:line="240" w:lineRule="auto"/>
              <w:jc w:val="center"/>
            </w:pPr>
            <w:r/>
            <w:r>
              <w:rPr>
                <w:sz w:val="15"/>
              </w:rPr>
              <w:t>0.969 (0.963 ± 0.002)</w:t>
            </w:r>
          </w:p>
        </w:tc>
        <w:tc>
          <w:tcPr>
            <w:tcW w:type="dxa" w:w="2016"/>
          </w:tcPr>
          <w:p>
            <w:pPr>
              <w:spacing w:after="0" w:line="240" w:lineRule="auto"/>
              <w:jc w:val="center"/>
            </w:pPr>
            <w:r/>
            <w:r>
              <w:rPr>
                <w:sz w:val="15"/>
              </w:rPr>
              <w:t>0.424 (0.484 ± 0.020)</w:t>
            </w:r>
          </w:p>
        </w:tc>
        <w:tc>
          <w:tcPr>
            <w:tcW w:type="dxa" w:w="2016"/>
          </w:tcPr>
          <w:p>
            <w:pPr>
              <w:spacing w:after="0" w:line="240" w:lineRule="auto"/>
              <w:jc w:val="center"/>
            </w:pPr>
            <w:r/>
            <w:r>
              <w:rPr>
                <w:sz w:val="15"/>
              </w:rPr>
              <w:t>0.757 (0.820 ± 0.025)</w:t>
            </w:r>
          </w:p>
        </w:tc>
      </w:tr>
      <w:tr>
        <w:tc>
          <w:tcPr>
            <w:tcW w:type="dxa" w:w="1296"/>
          </w:tcPr>
          <w:p>
            <w:pPr>
              <w:spacing w:after="0" w:line="240" w:lineRule="auto"/>
              <w:jc w:val="left"/>
            </w:pPr>
            <w:r/>
            <w:r>
              <w:rPr>
                <w:sz w:val="15"/>
              </w:rPr>
            </w:r>
          </w:p>
        </w:tc>
        <w:tc>
          <w:tcPr>
            <w:tcW w:type="dxa" w:w="2160"/>
          </w:tcPr>
          <w:p>
            <w:pPr>
              <w:spacing w:after="0" w:line="240" w:lineRule="auto"/>
              <w:jc w:val="center"/>
            </w:pPr>
            <w:r/>
            <w:r>
              <w:rPr>
                <w:sz w:val="15"/>
              </w:rPr>
              <w:t>w/o xTB features</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r>
      <w:tr>
        <w:tc>
          <w:tcPr>
            <w:tcW w:type="dxa" w:w="1296"/>
          </w:tcPr>
          <w:p>
            <w:pPr>
              <w:spacing w:after="0" w:line="240" w:lineRule="auto"/>
              <w:jc w:val="left"/>
            </w:pPr>
            <w:r/>
            <w:r>
              <w:rPr>
                <w:sz w:val="15"/>
              </w:rPr>
            </w:r>
          </w:p>
        </w:tc>
        <w:tc>
          <w:tcPr>
            <w:tcW w:type="dxa" w:w="2160"/>
          </w:tcPr>
          <w:p>
            <w:pPr>
              <w:spacing w:after="0" w:line="240" w:lineRule="auto"/>
              <w:jc w:val="center"/>
            </w:pPr>
            <w:r/>
            <w:r>
              <w:rPr>
                <w:sz w:val="15"/>
              </w:rPr>
              <w:t>w/o edge gating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r>
      <w:tr>
        <w:tc>
          <w:tcPr>
            <w:tcW w:type="dxa" w:w="1296"/>
          </w:tcPr>
          <w:p>
            <w:pPr>
              <w:spacing w:after="0" w:line="240" w:lineRule="auto"/>
              <w:jc w:val="left"/>
            </w:pPr>
            <w:r/>
            <w:r>
              <w:rPr>
                <w:sz w:val="15"/>
              </w:rPr>
            </w:r>
          </w:p>
        </w:tc>
        <w:tc>
          <w:tcPr>
            <w:tcW w:type="dxa" w:w="2160"/>
          </w:tcPr>
          <w:p>
            <w:pPr>
              <w:spacing w:after="0" w:line="240" w:lineRule="auto"/>
              <w:jc w:val="center"/>
            </w:pPr>
            <w:r/>
            <w:r>
              <w:rPr>
                <w:sz w:val="15"/>
              </w:rPr>
              <w:t>w/o site readout</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r>
      <w:tr>
        <w:tc>
          <w:tcPr>
            <w:tcW w:type="dxa" w:w="1296"/>
          </w:tcPr>
          <w:p>
            <w:pPr>
              <w:spacing w:after="0" w:line="240" w:lineRule="auto"/>
              <w:jc w:val="left"/>
            </w:pPr>
            <w:r/>
            <w:r>
              <w:rPr>
                <w:sz w:val="15"/>
              </w:rPr>
              <w:t>pKa (basic)</w:t>
            </w:r>
          </w:p>
        </w:tc>
        <w:tc>
          <w:tcPr>
            <w:tcW w:type="dxa" w:w="2160"/>
          </w:tcPr>
          <w:p>
            <w:pPr>
              <w:spacing w:after="0" w:line="240" w:lineRule="auto"/>
              <w:jc w:val="center"/>
            </w:pPr>
            <w:r/>
            <w:r>
              <w:rPr>
                <w:sz w:val="15"/>
              </w:rPr>
              <w:t>GraphMPNN (final)</w:t>
            </w:r>
          </w:p>
        </w:tc>
        <w:tc>
          <w:tcPr>
            <w:tcW w:type="dxa" w:w="2016"/>
          </w:tcPr>
          <w:p>
            <w:pPr>
              <w:spacing w:after="0" w:line="240" w:lineRule="auto"/>
              <w:jc w:val="center"/>
            </w:pPr>
            <w:r/>
            <w:r>
              <w:rPr>
                <w:sz w:val="15"/>
              </w:rPr>
              <w:t>0.948 (0.937 ± 0.003)</w:t>
            </w:r>
          </w:p>
        </w:tc>
        <w:tc>
          <w:tcPr>
            <w:tcW w:type="dxa" w:w="2016"/>
          </w:tcPr>
          <w:p>
            <w:pPr>
              <w:spacing w:after="0" w:line="240" w:lineRule="auto"/>
              <w:jc w:val="center"/>
            </w:pPr>
            <w:r/>
            <w:r>
              <w:rPr>
                <w:sz w:val="15"/>
              </w:rPr>
              <w:t>0.416 (0.472 ± 0.010)</w:t>
            </w:r>
          </w:p>
        </w:tc>
        <w:tc>
          <w:tcPr>
            <w:tcW w:type="dxa" w:w="2016"/>
          </w:tcPr>
          <w:p>
            <w:pPr>
              <w:spacing w:after="0" w:line="240" w:lineRule="auto"/>
              <w:jc w:val="center"/>
            </w:pPr>
            <w:r/>
            <w:r>
              <w:rPr>
                <w:sz w:val="15"/>
              </w:rPr>
              <w:t>0.670 (0.736 ± 0.016)</w:t>
            </w:r>
          </w:p>
        </w:tc>
      </w:tr>
      <w:tr>
        <w:tc>
          <w:tcPr>
            <w:tcW w:type="dxa" w:w="1296"/>
          </w:tcPr>
          <w:p>
            <w:pPr>
              <w:spacing w:after="0" w:line="240" w:lineRule="auto"/>
              <w:jc w:val="left"/>
            </w:pPr>
            <w:r/>
            <w:r>
              <w:rPr>
                <w:sz w:val="15"/>
              </w:rPr>
            </w:r>
          </w:p>
        </w:tc>
        <w:tc>
          <w:tcPr>
            <w:tcW w:type="dxa" w:w="2160"/>
          </w:tcPr>
          <w:p>
            <w:pPr>
              <w:spacing w:after="0" w:line="240" w:lineRule="auto"/>
              <w:jc w:val="center"/>
            </w:pPr>
            <w:r/>
            <w:r>
              <w:rPr>
                <w:sz w:val="15"/>
              </w:rPr>
              <w:t>w/o xTB features</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r>
      <w:tr>
        <w:tc>
          <w:tcPr>
            <w:tcW w:type="dxa" w:w="1296"/>
          </w:tcPr>
          <w:p>
            <w:pPr>
              <w:spacing w:after="0" w:line="240" w:lineRule="auto"/>
              <w:jc w:val="left"/>
            </w:pPr>
            <w:r/>
            <w:r>
              <w:rPr>
                <w:sz w:val="15"/>
              </w:rPr>
            </w:r>
          </w:p>
        </w:tc>
        <w:tc>
          <w:tcPr>
            <w:tcW w:type="dxa" w:w="2160"/>
          </w:tcPr>
          <w:p>
            <w:pPr>
              <w:spacing w:after="0" w:line="240" w:lineRule="auto"/>
              <w:jc w:val="center"/>
            </w:pPr>
            <w:r/>
            <w:r>
              <w:rPr>
                <w:sz w:val="15"/>
              </w:rPr>
              <w:t>w/o edge gating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c>
          <w:tcPr>
            <w:tcW w:type="dxa" w:w="2016"/>
          </w:tcPr>
          <w:p>
            <w:pPr>
              <w:spacing w:after="0" w:line="240" w:lineRule="auto"/>
              <w:jc w:val="center"/>
            </w:pPr>
            <w:r/>
            <w:r>
              <w:rPr>
                <w:color w:val="C00000"/>
                <w:sz w:val="15"/>
              </w:rPr>
              <w:t>PENDING</w:t>
            </w:r>
          </w:p>
        </w:tc>
      </w:tr>
      <w:tr>
        <w:tc>
          <w:tcPr>
            <w:tcW w:type="dxa" w:w="1296"/>
            <w:tcBorders>
              <w:bottom w:val="single" w:sz="6" w:space="0" w:color="000000"/>
            </w:tcBorders>
          </w:tcPr>
          <w:p>
            <w:pPr>
              <w:spacing w:after="0" w:line="240" w:lineRule="auto"/>
              <w:jc w:val="left"/>
            </w:pPr>
            <w:r/>
            <w:r>
              <w:rPr>
                <w:sz w:val="15"/>
              </w:rPr>
            </w:r>
          </w:p>
        </w:tc>
        <w:tc>
          <w:tcPr>
            <w:tcW w:type="dxa" w:w="2160"/>
            <w:tcBorders>
              <w:bottom w:val="single" w:sz="6" w:space="0" w:color="000000"/>
            </w:tcBorders>
          </w:tcPr>
          <w:p>
            <w:pPr>
              <w:spacing w:after="0" w:line="240" w:lineRule="auto"/>
              <w:jc w:val="center"/>
            </w:pPr>
            <w:r/>
            <w:r>
              <w:rPr>
                <w:sz w:val="15"/>
              </w:rPr>
              <w:t>w/o site readout</w:t>
            </w:r>
          </w:p>
        </w:tc>
        <w:tc>
          <w:tcPr>
            <w:tcW w:type="dxa" w:w="2016"/>
            <w:tcBorders>
              <w:bottom w:val="single" w:sz="6" w:space="0" w:color="000000"/>
            </w:tcBorders>
          </w:tcPr>
          <w:p>
            <w:pPr>
              <w:spacing w:after="0" w:line="240" w:lineRule="auto"/>
              <w:jc w:val="center"/>
            </w:pPr>
            <w:r/>
            <w:r>
              <w:rPr>
                <w:color w:val="C00000"/>
                <w:sz w:val="15"/>
              </w:rPr>
              <w:t>PENDING</w:t>
            </w:r>
          </w:p>
        </w:tc>
        <w:tc>
          <w:tcPr>
            <w:tcW w:type="dxa" w:w="2016"/>
            <w:tcBorders>
              <w:bottom w:val="single" w:sz="6" w:space="0" w:color="000000"/>
            </w:tcBorders>
          </w:tcPr>
          <w:p>
            <w:pPr>
              <w:spacing w:after="0" w:line="240" w:lineRule="auto"/>
              <w:jc w:val="center"/>
            </w:pPr>
            <w:r/>
            <w:r>
              <w:rPr>
                <w:color w:val="C00000"/>
                <w:sz w:val="15"/>
              </w:rPr>
              <w:t>PENDING</w:t>
            </w:r>
          </w:p>
        </w:tc>
        <w:tc>
          <w:tcPr>
            <w:tcW w:type="dxa" w:w="2016"/>
            <w:tcBorders>
              <w:bottom w:val="single" w:sz="6" w:space="0" w:color="000000"/>
            </w:tcBorders>
          </w:tcPr>
          <w:p>
            <w:pPr>
              <w:spacing w:after="0" w:line="240" w:lineRule="auto"/>
              <w:jc w:val="center"/>
            </w:pPr>
            <w:r/>
            <w:r>
              <w:rPr>
                <w:color w:val="C00000"/>
                <w:sz w:val="15"/>
              </w:rPr>
              <w:t>PENDING</w:t>
            </w:r>
          </w:p>
        </w:tc>
      </w:tr>
    </w:tbl>
    <w:p>
      <w:pPr>
        <w:spacing w:after="0"/>
      </w:pPr>
      <w:r>
        <w:rPr>
          <w:sz w:val="14"/>
        </w:rPr>
        <w:t>Final-model rows from Table I. Variant rows to be filled when the 10-seed runs complete.</w:t>
      </w:r>
    </w:p>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