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center"/>
      </w:pPr>
      <w:r>
        <w:drawing>
          <wp:inline xmlns:a="http://schemas.openxmlformats.org/drawingml/2006/main" xmlns:pic="http://schemas.openxmlformats.org/drawingml/2006/picture">
            <wp:extent cx="5943600" cy="3570568"/>
            <wp:docPr id="1" name="Picture 1"/>
            <wp:cNvGraphicFramePr>
              <a:graphicFrameLocks noChangeAspect="1"/>
            </wp:cNvGraphicFramePr>
            <a:graphic>
              <a:graphicData uri="http://schemas.openxmlformats.org/drawingml/2006/picture">
                <pic:pic>
                  <pic:nvPicPr>
                    <pic:cNvPr id="0" name="From Structure to Smarter Decisions.png"/>
                    <pic:cNvPicPr/>
                  </pic:nvPicPr>
                  <pic:blipFill>
                    <a:blip r:embed="rId9"/>
                    <a:stretch>
                      <a:fillRect/>
                    </a:stretch>
                  </pic:blipFill>
                  <pic:spPr>
                    <a:xfrm>
                      <a:off x="0" y="0"/>
                      <a:ext cx="5943600" cy="3570568"/>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2). Clearance, volume of distribution and fraction unbound are whole-organism properties with smaller labeled sets, and are modeled by a compact factorized-descriptor network in which named physicochemical descriptor groups are kept in separate pathways (Fig. 3).</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GraphMPNN architecture diagram to be inserted]</w:t>
            </w:r>
          </w:p>
        </w:tc>
      </w:tr>
    </w:tbl>
    <w:p>
      <w:pPr>
        <w:spacing w:after="40"/>
      </w:pPr>
    </w:p>
    <w:p>
      <w:pPr>
        <w:jc w:val="both"/>
      </w:pPr>
      <w:r>
        <w:rPr>
          <w:sz w:val="16"/>
        </w:rPr>
        <w:t xml:space="preserve">Fig. 2. </w:t>
      </w:r>
      <w:r>
        <w:rPr>
          <w:sz w:val="16"/>
        </w:rPr>
        <w:t>Architecture of the edge-gated graph message-passing network used for the two pKa endpoints. Placeholder; diagram to be supplied.</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MFMN architecture diagram to be inserted]</w:t>
            </w:r>
          </w:p>
        </w:tc>
      </w:tr>
    </w:tbl>
    <w:p>
      <w:pPr>
        <w:spacing w:after="40"/>
      </w:pPr>
    </w:p>
    <w:p>
      <w:pPr>
        <w:jc w:val="both"/>
      </w:pPr>
      <w:r>
        <w:rPr>
          <w:sz w:val="16"/>
        </w:rPr>
        <w:t xml:space="preserve">Fig. 3. </w:t>
      </w:r>
      <w:r>
        <w:rPr>
          <w:sz w:val="16"/>
        </w:rPr>
        <w:t>Architecture of the factorized-descriptor network (MFMN) used for CL, VDss and Fu, showing the seven mechanistic factor pathways, the shared context, the dynamic gate and the auxiliary heads. Placeholder; diagram to be supplied.</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4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2" name="Picture 2"/>
            <wp:cNvGraphicFramePr>
              <a:graphicFrameLocks noChangeAspect="1"/>
            </wp:cNvGraphicFramePr>
            <a:graphic>
              <a:graphicData uri="http://schemas.openxmlformats.org/drawingml/2006/picture">
                <pic:pic>
                  <pic:nvPicPr>
                    <pic:cNvPr id="0" name="fig1_parity.png"/>
                    <pic:cNvPicPr/>
                  </pic:nvPicPr>
                  <pic:blipFill>
                    <a:blip r:embed="rId10"/>
                    <a:stretch>
                      <a:fillRect/>
                    </a:stretch>
                  </pic:blipFill>
                  <pic:spPr>
                    <a:xfrm>
                      <a:off x="0" y="0"/>
                      <a:ext cx="5943600" cy="1493891"/>
                    </a:xfrm>
                    <a:prstGeom prst="rect"/>
                  </pic:spPr>
                </pic:pic>
              </a:graphicData>
            </a:graphic>
          </wp:inline>
        </w:drawing>
      </w:r>
    </w:p>
    <w:p>
      <w:pPr>
        <w:jc w:val="both"/>
      </w:pPr>
      <w:r>
        <w:rPr>
          <w:sz w:val="16"/>
        </w:rPr>
        <w:t xml:space="preserve">Fig. 4.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5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3" name="Picture 3"/>
            <wp:cNvGraphicFramePr>
              <a:graphicFrameLocks noChangeAspect="1"/>
            </wp:cNvGraphicFramePr>
            <a:graphic>
              <a:graphicData uri="http://schemas.openxmlformats.org/drawingml/2006/picture">
                <pic:pic>
                  <pic:nvPicPr>
                    <pic:cNvPr id="0" name="fig2_vs_paper.png"/>
                    <pic:cNvPicPr/>
                  </pic:nvPicPr>
                  <pic:blipFill>
                    <a:blip r:embed="rId11"/>
                    <a:stretch>
                      <a:fillRect/>
                    </a:stretch>
                  </pic:blipFill>
                  <pic:spPr>
                    <a:xfrm>
                      <a:off x="0" y="0"/>
                      <a:ext cx="3108960" cy="3201765"/>
                    </a:xfrm>
                    <a:prstGeom prst="rect"/>
                  </pic:spPr>
                </pic:pic>
              </a:graphicData>
            </a:graphic>
          </wp:inline>
        </w:drawing>
      </w:r>
    </w:p>
    <w:p>
      <w:pPr>
        <w:jc w:val="both"/>
      </w:pPr>
      <w:r>
        <w:rPr>
          <w:sz w:val="16"/>
        </w:rPr>
        <w:t xml:space="preserve">Fig. 5.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6):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4" name="Picture 4"/>
            <wp:cNvGraphicFramePr>
              <a:graphicFrameLocks noChangeAspect="1"/>
            </wp:cNvGraphicFramePr>
            <a:graphic>
              <a:graphicData uri="http://schemas.openxmlformats.org/drawingml/2006/picture">
                <pic:pic>
                  <pic:nvPicPr>
                    <pic:cNvPr id="0" name="fig3_paired_vs_jia.png"/>
                    <pic:cNvPicPr/>
                  </pic:nvPicPr>
                  <pic:blipFill>
                    <a:blip r:embed="rId12"/>
                    <a:stretch>
                      <a:fillRect/>
                    </a:stretch>
                  </pic:blipFill>
                  <pic:spPr>
                    <a:xfrm>
                      <a:off x="0" y="0"/>
                      <a:ext cx="5943600" cy="1812039"/>
                    </a:xfrm>
                    <a:prstGeom prst="rect"/>
                  </pic:spPr>
                </pic:pic>
              </a:graphicData>
            </a:graphic>
          </wp:inline>
        </w:drawing>
      </w:r>
    </w:p>
    <w:p>
      <w:pPr>
        <w:jc w:val="both"/>
      </w:pPr>
      <w:r>
        <w:rPr>
          <w:sz w:val="16"/>
        </w:rPr>
        <w:t xml:space="preserve">Fig. 6.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7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5" name="Picture 5"/>
            <wp:cNvGraphicFramePr>
              <a:graphicFrameLocks noChangeAspect="1"/>
            </wp:cNvGraphicFramePr>
            <a:graphic>
              <a:graphicData uri="http://schemas.openxmlformats.org/drawingml/2006/picture">
                <pic:pic>
                  <pic:nvPicPr>
                    <pic:cNvPr id="0" name="fig4_baselines.png"/>
                    <pic:cNvPicPr/>
                  </pic:nvPicPr>
                  <pic:blipFill>
                    <a:blip r:embed="rId13"/>
                    <a:stretch>
                      <a:fillRect/>
                    </a:stretch>
                  </pic:blipFill>
                  <pic:spPr>
                    <a:xfrm>
                      <a:off x="0" y="0"/>
                      <a:ext cx="5943600" cy="1711802"/>
                    </a:xfrm>
                    <a:prstGeom prst="rect"/>
                  </pic:spPr>
                </pic:pic>
              </a:graphicData>
            </a:graphic>
          </wp:inline>
        </w:drawing>
      </w:r>
    </w:p>
    <w:p>
      <w:pPr>
        <w:jc w:val="both"/>
      </w:pPr>
      <w:r>
        <w:rPr>
          <w:sz w:val="16"/>
        </w:rPr>
        <w:t xml:space="preserve">Fig. 7.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8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6" name="Picture 6"/>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3108960" cy="1866579"/>
                    </a:xfrm>
                    <a:prstGeom prst="rect"/>
                  </pic:spPr>
                </pic:pic>
              </a:graphicData>
            </a:graphic>
          </wp:inline>
        </w:drawing>
      </w:r>
    </w:p>
    <w:p>
      <w:pPr>
        <w:jc w:val="both"/>
      </w:pPr>
      <w:r>
        <w:rPr>
          <w:sz w:val="16"/>
        </w:rPr>
        <w:t xml:space="preserve">Fig. 8.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7" name="Picture 7"/>
            <wp:cNvGraphicFramePr>
              <a:graphicFrameLocks noChangeAspect="1"/>
            </wp:cNvGraphicFramePr>
            <a:graphic>
              <a:graphicData uri="http://schemas.openxmlformats.org/drawingml/2006/picture">
                <pic:pic>
                  <pic:nvPicPr>
                    <pic:cNvPr id="0" name="fig6_downstream.png"/>
                    <pic:cNvPicPr/>
                  </pic:nvPicPr>
                  <pic:blipFill>
                    <a:blip r:embed="rId15"/>
                    <a:stretch>
                      <a:fillRect/>
                    </a:stretch>
                  </pic:blipFill>
                  <pic:spPr>
                    <a:xfrm>
                      <a:off x="0" y="0"/>
                      <a:ext cx="5943600" cy="2660336"/>
                    </a:xfrm>
                    <a:prstGeom prst="rect"/>
                  </pic:spPr>
                </pic:pic>
              </a:graphicData>
            </a:graphic>
          </wp:inline>
        </w:drawing>
      </w:r>
    </w:p>
    <w:p>
      <w:pPr>
        <w:jc w:val="both"/>
      </w:pPr>
      <w:r>
        <w:rPr>
          <w:sz w:val="16"/>
        </w:rPr>
        <w:t xml:space="preserve">Fig. 9.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