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 Results</w:t>
      </w:r>
    </w:p>
    <w:p>
      <w:pPr>
        <w:jc w:val="both"/>
      </w:pPr>
      <w:r>
        <w:rPr>
          <w:b/>
          <w:i w:val="0"/>
          <w:color w:val="C00000"/>
          <w:sz w:val="16"/>
        </w:rPr>
        <w:t>[Draft – Results section only. Section number, reference numbers and cross-references to the Methods/Experiments sections are placeholders to be aligned with the full manuscript.]</w:t>
      </w:r>
    </w:p>
    <w:p>
      <w:pPr>
        <w:jc w:val="both"/>
      </w:pPr>
      <w:r>
        <w:rPr>
          <w:b w:val="0"/>
          <w:i w:val="0"/>
        </w:rPr>
        <w:t>This section reports the performance of the two proposed model families, GraphMPNN for the acid and base dissociation constants (pKa) and the multi-factor mechanistic network (MFMN) family for human intravenous clearance (CL), steady-state volume of distribution (VDss) and fraction unbound in plasma (Fu), on the official held-out test split of each endpoint. For pKa (basic), the final GraphMPNN omits the ionizable-site readout (Section D); for pKa (acidic), the full GraphMPNN is used. Results are reported on the official held-out test split. Every model was trained on the official training split only, with ten random seeds (42–51); the reported prediction for each compound is the arithmetic mean of the ten seed predictions (hereafter, the 10-seed ensemble). Variability is reported in two complementary forms: (i) the mean ± sample standard deviation (SD) of the metric over the ten individually trained seeds, which quantifies training stochasticity, and (ii) a 95% confidence interval (CI) of the ensemble metric obtained by a nonparametric bootstrap over test compounds (B = 10 000 resamples with replacement, percentile interval), which quantifies uncertainty due to the finite test set. Pairwise comparisons between models use a paired bootstrap in which both models are evaluated on the same resampled compounds; a difference is reported as resolved when the 95% CI of the paired difference excludes zero.</w:t>
      </w:r>
    </w:p>
    <w:p>
      <w:pPr>
        <w:jc w:val="both"/>
      </w:pPr>
      <w:r>
        <w:rPr>
          <w:b w:val="0"/>
          <w:i w:val="0"/>
        </w:rPr>
        <w:t>pKa endpoints are evaluated in pKa units using the coefficient of determination (R²), mean absolute error (MAE), root mean squared error (RMSE) and the fraction of compounds predicted within one pKa unit (W1). CL, VDss and Fu are modeled in log</w:t>
      </w:r>
      <w:r>
        <w:rPr>
          <w:b w:val="0"/>
          <w:i w:val="0"/>
          <w:vertAlign w:val="subscript"/>
        </w:rPr>
        <w:t>10</w:t>
      </w:r>
      <w:r>
        <w:rPr>
          <w:b w:val="0"/>
          <w:i w:val="0"/>
        </w:rPr>
        <w:t xml:space="preserve"> space; for these endpoints we report R², MAE and RMSE in log</w:t>
      </w:r>
      <w:r>
        <w:rPr>
          <w:b w:val="0"/>
          <w:i w:val="0"/>
          <w:vertAlign w:val="subscript"/>
        </w:rPr>
        <w:t>10</w:t>
      </w:r>
      <w:r>
        <w:rPr>
          <w:b w:val="0"/>
          <w:i w:val="0"/>
        </w:rPr>
        <w:t xml:space="preserve"> units, the geometric mean fold error, GMFE = 10^(mean |log</w:t>
      </w:r>
      <w:r>
        <w:rPr>
          <w:b w:val="0"/>
          <w:i w:val="0"/>
          <w:vertAlign w:val="subscript"/>
        </w:rPr>
        <w:t>10</w:t>
      </w:r>
      <w:r>
        <w:rPr>
          <w:b w:val="0"/>
          <w:i w:val="0"/>
        </w:rPr>
        <w:t xml:space="preserve"> ŷ − log</w:t>
      </w:r>
      <w:r>
        <w:rPr>
          <w:b w:val="0"/>
          <w:i w:val="0"/>
          <w:vertAlign w:val="subscript"/>
        </w:rPr>
        <w:t>10</w:t>
      </w:r>
      <w:r>
        <w:rPr>
          <w:b w:val="0"/>
          <w:i w:val="0"/>
        </w:rPr>
        <w:t xml:space="preserve"> y|), and the fraction of compounds predicted within two-fold of the observed value (W2F). Lower is better for MAE, RMSE and GMFE; higher is better for R², W1 and W2F.</w:t>
      </w:r>
    </w:p>
    <w:p>
      <w:pPr>
        <w:pStyle w:val="Heading2"/>
      </w:pPr>
      <w:r>
        <w:t>A. Performance of the Proposed Models</w:t>
      </w:r>
    </w:p>
    <w:p>
      <w:pPr>
        <w:jc w:val="both"/>
      </w:pPr>
      <w:r>
        <w:rPr>
          <w:b w:val="0"/>
          <w:i w:val="0"/>
        </w:rPr>
        <w:t>Tables I and II report the 10-seed ensemble performance of the proposed models, and Fig. 1 shows the corresponding parity plots. On pKa, GraphMPNN achieves an ensemble R² of 0.969 (95% CI 0.956–0.979) and an MAE of 0.424 pKa units on the acidic test set (n = 776), and an R² of 0.950 (0.936–0.962) with an MAE of 0.406 on the basic test set (n = 815). 91.0% and 90.7% of acidic and basic test compounds, respectively, are predicted within one pKa unit.</w:t>
      </w:r>
    </w:p>
    <w:p>
      <w:pPr>
        <w:jc w:val="both"/>
      </w:pPr>
      <w:r>
        <w:rPr>
          <w:b w:val="0"/>
          <w:i w:val="0"/>
        </w:rPr>
        <w:t>For the pharmacokinetic endpoints, the MFMN models reach an ensemble GMFE of 2.018 (95% CI 1.841–2.222) for CL, 1.764 (1.643–1.904) for VDss and 2.086 (1.980–2.203) for Fu, with W2F of 0.605, 0.684 and 0.613, respectively. The CL and VDss test sets each contain 177 compounds and the Fu test set 633 compounds; the CIs for CL and VDss are correspondingly wider (e.g., CL R² 0.366–0.602).</w:t>
      </w:r>
    </w:p>
    <w:p>
      <w:pPr>
        <w:jc w:val="both"/>
      </w:pPr>
      <w:r>
        <w:rPr>
          <w:b w:val="0"/>
          <w:i w:val="0"/>
        </w:rPr>
        <w:t>Across all five endpoints, the 10-seed ensemble outperforms the average individual seed on every metric. For example, CL R² is 0.497 for the ensemble versus 0.441 ± 0.020 for individual seeds, and pKa (acidic) MAE is 0.424 versus 0.484 ± 0.020. The seed-to-seed SD of R² is at most 0.029 across endpoints, with the largest values for VDss and CL.</w:t>
      </w:r>
    </w:p>
    <w:p>
      <w:pPr>
        <w:keepNext/>
        <w:jc w:val="center"/>
      </w:pPr>
      <w:r>
        <w:rPr>
          <w:smallCaps/>
          <w:sz w:val="16"/>
        </w:rPr>
        <w:t>Table I</w:t>
        <w:br/>
      </w:r>
      <w:r>
        <w:rPr>
          <w:sz w:val="16"/>
        </w:rPr>
        <w:t>Test-set performance of GraphMPNN on pKa (10-seed ensemble)</w:t>
      </w:r>
    </w:p>
    <w:tbl>
      <w:tblPr>
        <w:tblW w:type="auto" w:w="0"/>
        <w:jc w:val="center"/>
        <w:tblLayout w:type="fixed"/>
        <w:tblLook w:firstColumn="1" w:firstRow="1" w:lastColumn="0" w:lastRow="0" w:noHBand="0" w:noVBand="1" w:val="04A0"/>
        <w:tblLayout w:type="fixed"/>
        <w:tblW w:w="9360" w:type="dxa"/>
      </w:tblPr>
      <w:tblGrid>
        <w:gridCol w:w="2340"/>
        <w:gridCol w:w="2340"/>
        <w:gridCol w:w="2340"/>
        <w:gridCol w:w="2340"/>
      </w:tblGrid>
      <w:tr>
        <w:tc>
          <w:tcPr>
            <w:tcW w:type="dxa" w:w="2700"/>
            <w:tcBorders>
              <w:top w:val="single" w:sz="6" w:space="0" w:color="000000"/>
              <w:bottom w:val="single" w:sz="6" w:space="0" w:color="000000"/>
            </w:tcBorders>
          </w:tcPr>
          <w:p>
            <w:pPr>
              <w:spacing w:after="0" w:line="240" w:lineRule="auto"/>
              <w:jc w:val="left"/>
            </w:pPr>
            <w:r/>
            <w:r>
              <w:rPr>
                <w:b/>
                <w:sz w:val="15"/>
              </w:rPr>
              <w:t>Endpoint</w:t>
            </w:r>
          </w:p>
        </w:tc>
        <w:tc>
          <w:tcPr>
            <w:tcW w:type="dxa" w:w="1260"/>
            <w:tcBorders>
              <w:top w:val="single" w:sz="6" w:space="0" w:color="000000"/>
              <w:bottom w:val="single" w:sz="6" w:space="0" w:color="000000"/>
            </w:tcBorders>
          </w:tcPr>
          <w:p>
            <w:pPr>
              <w:spacing w:after="0" w:line="240" w:lineRule="auto"/>
              <w:jc w:val="center"/>
            </w:pPr>
            <w:r/>
            <w:r>
              <w:rPr>
                <w:b/>
                <w:sz w:val="15"/>
              </w:rPr>
              <w:t>Metric</w:t>
            </w:r>
          </w:p>
        </w:tc>
        <w:tc>
          <w:tcPr>
            <w:tcW w:type="dxa" w:w="3060"/>
            <w:tcBorders>
              <w:top w:val="single" w:sz="6" w:space="0" w:color="000000"/>
              <w:bottom w:val="single" w:sz="6" w:space="0" w:color="000000"/>
            </w:tcBorders>
          </w:tcPr>
          <w:p>
            <w:pPr>
              <w:spacing w:after="0" w:line="240" w:lineRule="auto"/>
              <w:jc w:val="center"/>
            </w:pPr>
            <w:r/>
            <w:r>
              <w:rPr>
                <w:b/>
                <w:sz w:val="15"/>
              </w:rPr>
              <w:t>Ensemble [95% CI]</w:t>
            </w:r>
          </w:p>
        </w:tc>
        <w:tc>
          <w:tcPr>
            <w:tcW w:type="dxa" w:w="2340"/>
            <w:tcBorders>
              <w:top w:val="single" w:sz="6" w:space="0" w:color="000000"/>
              <w:bottom w:val="single" w:sz="6" w:space="0" w:color="000000"/>
            </w:tcBorders>
          </w:tcPr>
          <w:p>
            <w:pPr>
              <w:spacing w:after="0" w:line="240" w:lineRule="auto"/>
              <w:jc w:val="center"/>
            </w:pPr>
            <w:r/>
            <w:r>
              <w:rPr>
                <w:b/>
                <w:sz w:val="15"/>
              </w:rPr>
              <w:t>Seed mean ± SD</w:t>
            </w:r>
          </w:p>
        </w:tc>
      </w:tr>
      <w:tr>
        <w:tc>
          <w:tcPr>
            <w:tcW w:type="dxa" w:w="2700"/>
          </w:tcPr>
          <w:p>
            <w:pPr>
              <w:spacing w:after="0" w:line="240" w:lineRule="auto"/>
              <w:jc w:val="left"/>
            </w:pPr>
            <w:r/>
            <w:r>
              <w:rPr>
                <w:sz w:val="15"/>
              </w:rPr>
              <w:t>pKa (acidic) (n = 776)</w:t>
            </w:r>
          </w:p>
        </w:tc>
        <w:tc>
          <w:tcPr>
            <w:tcW w:type="dxa" w:w="1260"/>
          </w:tcPr>
          <w:p>
            <w:pPr>
              <w:spacing w:after="0" w:line="240" w:lineRule="auto"/>
              <w:jc w:val="center"/>
            </w:pPr>
            <w:r/>
            <w:r>
              <w:rPr>
                <w:sz w:val="15"/>
              </w:rPr>
              <w:t>R²</w:t>
            </w:r>
          </w:p>
        </w:tc>
        <w:tc>
          <w:tcPr>
            <w:tcW w:type="dxa" w:w="3060"/>
          </w:tcPr>
          <w:p>
            <w:pPr>
              <w:spacing w:after="0" w:line="240" w:lineRule="auto"/>
              <w:jc w:val="center"/>
            </w:pPr>
            <w:r/>
            <w:r>
              <w:rPr>
                <w:sz w:val="15"/>
              </w:rPr>
              <w:t>0.969 [0.956, 0.979]</w:t>
            </w:r>
          </w:p>
        </w:tc>
        <w:tc>
          <w:tcPr>
            <w:tcW w:type="dxa" w:w="2340"/>
          </w:tcPr>
          <w:p>
            <w:pPr>
              <w:spacing w:after="0" w:line="240" w:lineRule="auto"/>
              <w:jc w:val="center"/>
            </w:pPr>
            <w:r/>
            <w:r>
              <w:rPr>
                <w:sz w:val="15"/>
              </w:rPr>
              <w:t>0.963 ± 0.002</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MAE</w:t>
            </w:r>
          </w:p>
        </w:tc>
        <w:tc>
          <w:tcPr>
            <w:tcW w:type="dxa" w:w="3060"/>
          </w:tcPr>
          <w:p>
            <w:pPr>
              <w:spacing w:after="0" w:line="240" w:lineRule="auto"/>
              <w:jc w:val="center"/>
            </w:pPr>
            <w:r/>
            <w:r>
              <w:rPr>
                <w:sz w:val="15"/>
              </w:rPr>
              <w:t>0.424 [0.383, 0.471]</w:t>
            </w:r>
          </w:p>
        </w:tc>
        <w:tc>
          <w:tcPr>
            <w:tcW w:type="dxa" w:w="2340"/>
          </w:tcPr>
          <w:p>
            <w:pPr>
              <w:spacing w:after="0" w:line="240" w:lineRule="auto"/>
              <w:jc w:val="center"/>
            </w:pPr>
            <w:r/>
            <w:r>
              <w:rPr>
                <w:sz w:val="15"/>
              </w:rPr>
              <w:t>0.484 ± 0.020</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RMSE</w:t>
            </w:r>
          </w:p>
        </w:tc>
        <w:tc>
          <w:tcPr>
            <w:tcW w:type="dxa" w:w="3060"/>
          </w:tcPr>
          <w:p>
            <w:pPr>
              <w:spacing w:after="0" w:line="240" w:lineRule="auto"/>
              <w:jc w:val="center"/>
            </w:pPr>
            <w:r/>
            <w:r>
              <w:rPr>
                <w:sz w:val="15"/>
              </w:rPr>
              <w:t>0.757 [0.622, 0.899]</w:t>
            </w:r>
          </w:p>
        </w:tc>
        <w:tc>
          <w:tcPr>
            <w:tcW w:type="dxa" w:w="2340"/>
          </w:tcPr>
          <w:p>
            <w:pPr>
              <w:spacing w:after="0" w:line="240" w:lineRule="auto"/>
              <w:jc w:val="center"/>
            </w:pPr>
            <w:r/>
            <w:r>
              <w:rPr>
                <w:sz w:val="15"/>
              </w:rPr>
              <w:t>0.820 ± 0.025</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W1</w:t>
            </w:r>
          </w:p>
        </w:tc>
        <w:tc>
          <w:tcPr>
            <w:tcW w:type="dxa" w:w="3060"/>
          </w:tcPr>
          <w:p>
            <w:pPr>
              <w:spacing w:after="0" w:line="240" w:lineRule="auto"/>
              <w:jc w:val="center"/>
            </w:pPr>
            <w:r/>
            <w:r>
              <w:rPr>
                <w:sz w:val="15"/>
              </w:rPr>
              <w:t>0.910 [0.889, 0.929]</w:t>
            </w:r>
          </w:p>
        </w:tc>
        <w:tc>
          <w:tcPr>
            <w:tcW w:type="dxa" w:w="2340"/>
          </w:tcPr>
          <w:p>
            <w:pPr>
              <w:spacing w:after="0" w:line="240" w:lineRule="auto"/>
              <w:jc w:val="center"/>
            </w:pPr>
            <w:r/>
            <w:r>
              <w:rPr>
                <w:sz w:val="15"/>
              </w:rPr>
              <w:t>0.887 ± 0.010</w:t>
            </w:r>
          </w:p>
        </w:tc>
      </w:tr>
      <w:tr>
        <w:tc>
          <w:tcPr>
            <w:tcW w:type="dxa" w:w="2700"/>
          </w:tcPr>
          <w:p>
            <w:pPr>
              <w:spacing w:after="0" w:line="240" w:lineRule="auto"/>
              <w:jc w:val="left"/>
            </w:pPr>
            <w:r/>
            <w:r>
              <w:rPr>
                <w:sz w:val="15"/>
              </w:rPr>
              <w:t>pKa (basic) (n = 815)</w:t>
            </w:r>
          </w:p>
        </w:tc>
        <w:tc>
          <w:tcPr>
            <w:tcW w:type="dxa" w:w="1260"/>
          </w:tcPr>
          <w:p>
            <w:pPr>
              <w:spacing w:after="0" w:line="240" w:lineRule="auto"/>
              <w:jc w:val="center"/>
            </w:pPr>
            <w:r/>
            <w:r>
              <w:rPr>
                <w:sz w:val="15"/>
              </w:rPr>
              <w:t>R²</w:t>
            </w:r>
          </w:p>
        </w:tc>
        <w:tc>
          <w:tcPr>
            <w:tcW w:type="dxa" w:w="3060"/>
          </w:tcPr>
          <w:p>
            <w:pPr>
              <w:spacing w:after="0" w:line="240" w:lineRule="auto"/>
              <w:jc w:val="center"/>
            </w:pPr>
            <w:r/>
            <w:r>
              <w:rPr>
                <w:sz w:val="15"/>
              </w:rPr>
              <w:t>0.950 [0.936, 0.962]</w:t>
            </w:r>
          </w:p>
        </w:tc>
        <w:tc>
          <w:tcPr>
            <w:tcW w:type="dxa" w:w="2340"/>
          </w:tcPr>
          <w:p>
            <w:pPr>
              <w:spacing w:after="0" w:line="240" w:lineRule="auto"/>
              <w:jc w:val="center"/>
            </w:pPr>
            <w:r/>
            <w:r>
              <w:rPr>
                <w:sz w:val="15"/>
              </w:rPr>
              <w:t>0.940 ± 0.002</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MAE</w:t>
            </w:r>
          </w:p>
        </w:tc>
        <w:tc>
          <w:tcPr>
            <w:tcW w:type="dxa" w:w="3060"/>
          </w:tcPr>
          <w:p>
            <w:pPr>
              <w:spacing w:after="0" w:line="240" w:lineRule="auto"/>
              <w:jc w:val="center"/>
            </w:pPr>
            <w:r/>
            <w:r>
              <w:rPr>
                <w:sz w:val="15"/>
              </w:rPr>
              <w:t>0.406 [0.372, 0.442]</w:t>
            </w:r>
          </w:p>
        </w:tc>
        <w:tc>
          <w:tcPr>
            <w:tcW w:type="dxa" w:w="2340"/>
          </w:tcPr>
          <w:p>
            <w:pPr>
              <w:spacing w:after="0" w:line="240" w:lineRule="auto"/>
              <w:jc w:val="center"/>
            </w:pPr>
            <w:r/>
            <w:r>
              <w:rPr>
                <w:sz w:val="15"/>
              </w:rPr>
              <w:t>0.461 ± 0.016</w:t>
            </w:r>
          </w:p>
        </w:tc>
      </w:tr>
      <w:tr>
        <w:tc>
          <w:tcPr>
            <w:tcW w:type="dxa" w:w="2700"/>
          </w:tcPr>
          <w:p>
            <w:pPr>
              <w:spacing w:after="0" w:line="240" w:lineRule="auto"/>
              <w:jc w:val="left"/>
            </w:pPr>
            <w:r/>
            <w:r>
              <w:rPr>
                <w:sz w:val="15"/>
              </w:rPr>
            </w:r>
          </w:p>
        </w:tc>
        <w:tc>
          <w:tcPr>
            <w:tcW w:type="dxa" w:w="1260"/>
          </w:tcPr>
          <w:p>
            <w:pPr>
              <w:spacing w:after="0" w:line="240" w:lineRule="auto"/>
              <w:jc w:val="center"/>
            </w:pPr>
            <w:r/>
            <w:r>
              <w:rPr>
                <w:sz w:val="15"/>
              </w:rPr>
              <w:t>RMSE</w:t>
            </w:r>
          </w:p>
        </w:tc>
        <w:tc>
          <w:tcPr>
            <w:tcW w:type="dxa" w:w="3060"/>
          </w:tcPr>
          <w:p>
            <w:pPr>
              <w:spacing w:after="0" w:line="240" w:lineRule="auto"/>
              <w:jc w:val="center"/>
            </w:pPr>
            <w:r/>
            <w:r>
              <w:rPr>
                <w:sz w:val="15"/>
              </w:rPr>
              <w:t>0.654 [0.572, 0.743]</w:t>
            </w:r>
          </w:p>
        </w:tc>
        <w:tc>
          <w:tcPr>
            <w:tcW w:type="dxa" w:w="2340"/>
          </w:tcPr>
          <w:p>
            <w:pPr>
              <w:spacing w:after="0" w:line="240" w:lineRule="auto"/>
              <w:jc w:val="center"/>
            </w:pPr>
            <w:r/>
            <w:r>
              <w:rPr>
                <w:sz w:val="15"/>
              </w:rPr>
              <w:t>0.720 ± 0.013</w:t>
            </w:r>
          </w:p>
        </w:tc>
      </w:tr>
      <w:tr>
        <w:tc>
          <w:tcPr>
            <w:tcW w:type="dxa" w:w="2700"/>
            <w:tcBorders>
              <w:bottom w:val="single" w:sz="6" w:space="0" w:color="000000"/>
            </w:tcBorders>
          </w:tcPr>
          <w:p>
            <w:pPr>
              <w:spacing w:after="0" w:line="240" w:lineRule="auto"/>
              <w:jc w:val="left"/>
            </w:pPr>
            <w:r/>
            <w:r>
              <w:rPr>
                <w:sz w:val="15"/>
              </w:rPr>
            </w:r>
          </w:p>
        </w:tc>
        <w:tc>
          <w:tcPr>
            <w:tcW w:type="dxa" w:w="1260"/>
            <w:tcBorders>
              <w:bottom w:val="single" w:sz="6" w:space="0" w:color="000000"/>
            </w:tcBorders>
          </w:tcPr>
          <w:p>
            <w:pPr>
              <w:spacing w:after="0" w:line="240" w:lineRule="auto"/>
              <w:jc w:val="center"/>
            </w:pPr>
            <w:r/>
            <w:r>
              <w:rPr>
                <w:sz w:val="15"/>
              </w:rPr>
              <w:t>W1</w:t>
            </w:r>
          </w:p>
        </w:tc>
        <w:tc>
          <w:tcPr>
            <w:tcW w:type="dxa" w:w="3060"/>
            <w:tcBorders>
              <w:bottom w:val="single" w:sz="6" w:space="0" w:color="000000"/>
            </w:tcBorders>
          </w:tcPr>
          <w:p>
            <w:pPr>
              <w:spacing w:after="0" w:line="240" w:lineRule="auto"/>
              <w:jc w:val="center"/>
            </w:pPr>
            <w:r/>
            <w:r>
              <w:rPr>
                <w:sz w:val="15"/>
              </w:rPr>
              <w:t>0.907 [0.886, 0.926]</w:t>
            </w:r>
          </w:p>
        </w:tc>
        <w:tc>
          <w:tcPr>
            <w:tcW w:type="dxa" w:w="2340"/>
            <w:tcBorders>
              <w:bottom w:val="single" w:sz="6" w:space="0" w:color="000000"/>
            </w:tcBorders>
          </w:tcPr>
          <w:p>
            <w:pPr>
              <w:spacing w:after="0" w:line="240" w:lineRule="auto"/>
              <w:jc w:val="center"/>
            </w:pPr>
            <w:r/>
            <w:r>
              <w:rPr>
                <w:sz w:val="15"/>
              </w:rPr>
              <w:t>0.889 ± 0.013</w:t>
            </w:r>
          </w:p>
        </w:tc>
      </w:tr>
    </w:tbl>
    <w:p>
      <w:pPr>
        <w:spacing w:after="0"/>
      </w:pPr>
      <w:r>
        <w:rPr>
          <w:sz w:val="14"/>
        </w:rPr>
        <w:t>Ensemble: mean prediction of 10 seeds; CI: compound-level bootstrap, B = 10 000. Seed mean ± SD over the 10 individually trained seeds. MAE and RMSE in pKa units; W1: fraction within 1 pKa unit. pKa (basic): GraphMPNN without the ionizable-site readout.</w:t>
      </w:r>
    </w:p>
    <w:p>
      <w:pPr>
        <w:spacing w:after="40"/>
      </w:pPr>
    </w:p>
    <w:p>
      <w:pPr>
        <w:keepNext/>
        <w:jc w:val="center"/>
      </w:pPr>
      <w:r>
        <w:rPr>
          <w:smallCaps/>
          <w:sz w:val="16"/>
        </w:rPr>
        <w:t>Table II</w:t>
        <w:br/>
      </w:r>
      <w:r>
        <w:rPr>
          <w:sz w:val="16"/>
        </w:rPr>
        <w:t>Test-set performance of the MFMN models on CL, VDss and Fu (10-seed ensemble)</w:t>
      </w:r>
    </w:p>
    <w:tbl>
      <w:tblPr>
        <w:tblW w:type="auto" w:w="0"/>
        <w:jc w:val="center"/>
        <w:tblLayout w:type="fixed"/>
        <w:tblLook w:firstColumn="1" w:firstRow="1" w:lastColumn="0" w:lastRow="0" w:noHBand="0" w:noVBand="1" w:val="04A0"/>
        <w:tblLayout w:type="fixed"/>
        <w:tblW w:w="9360" w:type="dxa"/>
      </w:tblPr>
      <w:tblGrid>
        <w:gridCol w:w="2340"/>
        <w:gridCol w:w="2340"/>
        <w:gridCol w:w="2340"/>
        <w:gridCol w:w="2340"/>
      </w:tblGrid>
      <w:tr>
        <w:tc>
          <w:tcPr>
            <w:tcW w:type="dxa" w:w="3640"/>
            <w:tcBorders>
              <w:top w:val="single" w:sz="6" w:space="0" w:color="000000"/>
              <w:bottom w:val="single" w:sz="6" w:space="0" w:color="000000"/>
            </w:tcBorders>
          </w:tcPr>
          <w:p>
            <w:pPr>
              <w:spacing w:after="0" w:line="240" w:lineRule="auto"/>
              <w:jc w:val="left"/>
            </w:pPr>
            <w:r/>
            <w:r>
              <w:rPr>
                <w:b/>
                <w:sz w:val="15"/>
              </w:rPr>
              <w:t>Endpoint – model</w:t>
            </w:r>
          </w:p>
        </w:tc>
        <w:tc>
          <w:tcPr>
            <w:tcW w:type="dxa" w:w="1040"/>
            <w:tcBorders>
              <w:top w:val="single" w:sz="6" w:space="0" w:color="000000"/>
              <w:bottom w:val="single" w:sz="6" w:space="0" w:color="000000"/>
            </w:tcBorders>
          </w:tcPr>
          <w:p>
            <w:pPr>
              <w:spacing w:after="0" w:line="240" w:lineRule="auto"/>
              <w:jc w:val="center"/>
            </w:pPr>
            <w:r/>
            <w:r>
              <w:rPr>
                <w:b/>
                <w:sz w:val="15"/>
              </w:rPr>
              <w:t>Metric</w:t>
            </w:r>
          </w:p>
        </w:tc>
        <w:tc>
          <w:tcPr>
            <w:tcW w:type="dxa" w:w="2600"/>
            <w:tcBorders>
              <w:top w:val="single" w:sz="6" w:space="0" w:color="000000"/>
              <w:bottom w:val="single" w:sz="6" w:space="0" w:color="000000"/>
            </w:tcBorders>
          </w:tcPr>
          <w:p>
            <w:pPr>
              <w:spacing w:after="0" w:line="240" w:lineRule="auto"/>
              <w:jc w:val="center"/>
            </w:pPr>
            <w:r/>
            <w:r>
              <w:rPr>
                <w:b/>
                <w:sz w:val="15"/>
              </w:rPr>
              <w:t>Ensemble [95% CI]</w:t>
            </w:r>
          </w:p>
        </w:tc>
        <w:tc>
          <w:tcPr>
            <w:tcW w:type="dxa" w:w="2080"/>
            <w:tcBorders>
              <w:top w:val="single" w:sz="6" w:space="0" w:color="000000"/>
              <w:bottom w:val="single" w:sz="6" w:space="0" w:color="000000"/>
            </w:tcBorders>
          </w:tcPr>
          <w:p>
            <w:pPr>
              <w:spacing w:after="0" w:line="240" w:lineRule="auto"/>
              <w:jc w:val="center"/>
            </w:pPr>
            <w:r/>
            <w:r>
              <w:rPr>
                <w:b/>
                <w:sz w:val="15"/>
              </w:rPr>
              <w:t>Seed mean ± SD</w:t>
            </w:r>
          </w:p>
        </w:tc>
      </w:tr>
      <w:tr>
        <w:tc>
          <w:tcPr>
            <w:tcW w:type="dxa" w:w="3640"/>
          </w:tcPr>
          <w:p>
            <w:pPr>
              <w:spacing w:after="0" w:line="240" w:lineRule="auto"/>
              <w:jc w:val="left"/>
            </w:pPr>
            <w:r/>
            <w:r>
              <w:rPr>
                <w:sz w:val="15"/>
              </w:rPr>
              <w:t>CL – MFMN-DynGate (n = 177)</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0.497 [0.366, 0.602]</w:t>
            </w:r>
          </w:p>
        </w:tc>
        <w:tc>
          <w:tcPr>
            <w:tcW w:type="dxa" w:w="2080"/>
          </w:tcPr>
          <w:p>
            <w:pPr>
              <w:spacing w:after="0" w:line="240" w:lineRule="auto"/>
              <w:jc w:val="center"/>
            </w:pPr>
            <w:r/>
            <w:r>
              <w:rPr>
                <w:sz w:val="15"/>
              </w:rPr>
              <w:t>0.441 ± 0.020</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0.305 [0.265, 0.347]</w:t>
            </w:r>
          </w:p>
        </w:tc>
        <w:tc>
          <w:tcPr>
            <w:tcW w:type="dxa" w:w="2080"/>
          </w:tcPr>
          <w:p>
            <w:pPr>
              <w:spacing w:after="0" w:line="240" w:lineRule="auto"/>
              <w:jc w:val="center"/>
            </w:pPr>
            <w:r/>
            <w:r>
              <w:rPr>
                <w:sz w:val="15"/>
              </w:rPr>
              <w:t>0.324 ± 0.007</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0.412 [0.357, 0.468]</w:t>
            </w:r>
          </w:p>
        </w:tc>
        <w:tc>
          <w:tcPr>
            <w:tcW w:type="dxa" w:w="2080"/>
          </w:tcPr>
          <w:p>
            <w:pPr>
              <w:spacing w:after="0" w:line="240" w:lineRule="auto"/>
              <w:jc w:val="center"/>
            </w:pPr>
            <w:r/>
            <w:r>
              <w:rPr>
                <w:sz w:val="15"/>
              </w:rPr>
              <w:t>0.435 ± 0.008</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2.018 [1.841, 2.222]</w:t>
            </w:r>
          </w:p>
        </w:tc>
        <w:tc>
          <w:tcPr>
            <w:tcW w:type="dxa" w:w="2080"/>
          </w:tcPr>
          <w:p>
            <w:pPr>
              <w:spacing w:after="0" w:line="240" w:lineRule="auto"/>
              <w:jc w:val="center"/>
            </w:pPr>
            <w:r/>
            <w:r>
              <w:rPr>
                <w:sz w:val="15"/>
              </w:rPr>
              <w:t>2.109 ± 0.036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W2F</w:t>
            </w:r>
          </w:p>
        </w:tc>
        <w:tc>
          <w:tcPr>
            <w:tcW w:type="dxa" w:w="2600"/>
          </w:tcPr>
          <w:p>
            <w:pPr>
              <w:spacing w:after="0" w:line="240" w:lineRule="auto"/>
              <w:jc w:val="center"/>
            </w:pPr>
            <w:r/>
            <w:r>
              <w:rPr>
                <w:sz w:val="15"/>
              </w:rPr>
              <w:t>0.605 [0.531, 0.678]</w:t>
            </w:r>
          </w:p>
        </w:tc>
        <w:tc>
          <w:tcPr>
            <w:tcW w:type="dxa" w:w="2080"/>
          </w:tcPr>
          <w:p>
            <w:pPr>
              <w:spacing w:after="0" w:line="240" w:lineRule="auto"/>
              <w:jc w:val="center"/>
            </w:pPr>
            <w:r/>
            <w:r>
              <w:rPr>
                <w:sz w:val="15"/>
              </w:rPr>
              <w:t>0.579 ± 0.018</w:t>
            </w:r>
          </w:p>
        </w:tc>
      </w:tr>
      <w:tr>
        <w:tc>
          <w:tcPr>
            <w:tcW w:type="dxa" w:w="3640"/>
          </w:tcPr>
          <w:p>
            <w:pPr>
              <w:spacing w:after="0" w:line="240" w:lineRule="auto"/>
              <w:jc w:val="left"/>
            </w:pPr>
            <w:r/>
            <w:r>
              <w:rPr>
                <w:sz w:val="15"/>
              </w:rPr>
              <w:t>VDss – MFMN-InteractAux (n = 177)</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0.648 [0.547, 0.730]</w:t>
            </w:r>
          </w:p>
        </w:tc>
        <w:tc>
          <w:tcPr>
            <w:tcW w:type="dxa" w:w="2080"/>
          </w:tcPr>
          <w:p>
            <w:pPr>
              <w:spacing w:after="0" w:line="240" w:lineRule="auto"/>
              <w:jc w:val="center"/>
            </w:pPr>
            <w:r/>
            <w:r>
              <w:rPr>
                <w:sz w:val="15"/>
              </w:rPr>
              <w:t>0.609 ± 0.029</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0.247 [0.216, 0.280]</w:t>
            </w:r>
          </w:p>
        </w:tc>
        <w:tc>
          <w:tcPr>
            <w:tcW w:type="dxa" w:w="2080"/>
          </w:tcPr>
          <w:p>
            <w:pPr>
              <w:spacing w:after="0" w:line="240" w:lineRule="auto"/>
              <w:jc w:val="center"/>
            </w:pPr>
            <w:r/>
            <w:r>
              <w:rPr>
                <w:sz w:val="15"/>
              </w:rPr>
              <w:t>0.259 ± 0.012</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0.328 [0.284, 0.371]</w:t>
            </w:r>
          </w:p>
        </w:tc>
        <w:tc>
          <w:tcPr>
            <w:tcW w:type="dxa" w:w="2080"/>
          </w:tcPr>
          <w:p>
            <w:pPr>
              <w:spacing w:after="0" w:line="240" w:lineRule="auto"/>
              <w:jc w:val="center"/>
            </w:pPr>
            <w:r/>
            <w:r>
              <w:rPr>
                <w:sz w:val="15"/>
              </w:rPr>
              <w:t>0.345 ± 0.013</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1.764 [1.643, 1.904]</w:t>
            </w:r>
          </w:p>
        </w:tc>
        <w:tc>
          <w:tcPr>
            <w:tcW w:type="dxa" w:w="2080"/>
          </w:tcPr>
          <w:p>
            <w:pPr>
              <w:spacing w:after="0" w:line="240" w:lineRule="auto"/>
              <w:jc w:val="center"/>
            </w:pPr>
            <w:r/>
            <w:r>
              <w:rPr>
                <w:sz w:val="15"/>
              </w:rPr>
              <w:t>1.814 ± 0.048</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W2F</w:t>
            </w:r>
          </w:p>
        </w:tc>
        <w:tc>
          <w:tcPr>
            <w:tcW w:type="dxa" w:w="2600"/>
          </w:tcPr>
          <w:p>
            <w:pPr>
              <w:spacing w:after="0" w:line="240" w:lineRule="auto"/>
              <w:jc w:val="center"/>
            </w:pPr>
            <w:r/>
            <w:r>
              <w:rPr>
                <w:sz w:val="15"/>
              </w:rPr>
              <w:t>0.684 [0.616, 0.751]</w:t>
            </w:r>
          </w:p>
        </w:tc>
        <w:tc>
          <w:tcPr>
            <w:tcW w:type="dxa" w:w="2080"/>
          </w:tcPr>
          <w:p>
            <w:pPr>
              <w:spacing w:after="0" w:line="240" w:lineRule="auto"/>
              <w:jc w:val="center"/>
            </w:pPr>
            <w:r/>
            <w:r>
              <w:rPr>
                <w:sz w:val="15"/>
              </w:rPr>
              <w:t>0.670 ± 0.028</w:t>
            </w:r>
          </w:p>
        </w:tc>
      </w:tr>
      <w:tr>
        <w:tc>
          <w:tcPr>
            <w:tcW w:type="dxa" w:w="3640"/>
          </w:tcPr>
          <w:p>
            <w:pPr>
              <w:spacing w:after="0" w:line="240" w:lineRule="auto"/>
              <w:jc w:val="left"/>
            </w:pPr>
            <w:r/>
            <w:r>
              <w:rPr>
                <w:sz w:val="15"/>
              </w:rPr>
              <w:t>Fu – MFMN-DynGate + LW (n = 633)</w:t>
            </w:r>
          </w:p>
        </w:tc>
        <w:tc>
          <w:tcPr>
            <w:tcW w:type="dxa" w:w="1040"/>
          </w:tcPr>
          <w:p>
            <w:pPr>
              <w:spacing w:after="0" w:line="240" w:lineRule="auto"/>
              <w:jc w:val="center"/>
            </w:pPr>
            <w:r/>
            <w:r>
              <w:rPr>
                <w:sz w:val="15"/>
              </w:rPr>
              <w:t>R²</w:t>
            </w:r>
          </w:p>
        </w:tc>
        <w:tc>
          <w:tcPr>
            <w:tcW w:type="dxa" w:w="2600"/>
          </w:tcPr>
          <w:p>
            <w:pPr>
              <w:spacing w:after="0" w:line="240" w:lineRule="auto"/>
              <w:jc w:val="center"/>
            </w:pPr>
            <w:r/>
            <w:r>
              <w:rPr>
                <w:sz w:val="15"/>
              </w:rPr>
              <w:t>0.712 [0.671, 0.749]</w:t>
            </w:r>
          </w:p>
        </w:tc>
        <w:tc>
          <w:tcPr>
            <w:tcW w:type="dxa" w:w="2080"/>
          </w:tcPr>
          <w:p>
            <w:pPr>
              <w:spacing w:after="0" w:line="240" w:lineRule="auto"/>
              <w:jc w:val="center"/>
            </w:pPr>
            <w:r/>
            <w:r>
              <w:rPr>
                <w:sz w:val="15"/>
              </w:rPr>
              <w:t>0.681 ± 0.009</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MAE</w:t>
            </w:r>
          </w:p>
        </w:tc>
        <w:tc>
          <w:tcPr>
            <w:tcW w:type="dxa" w:w="2600"/>
          </w:tcPr>
          <w:p>
            <w:pPr>
              <w:spacing w:after="0" w:line="240" w:lineRule="auto"/>
              <w:jc w:val="center"/>
            </w:pPr>
            <w:r/>
            <w:r>
              <w:rPr>
                <w:sz w:val="15"/>
              </w:rPr>
              <w:t>0.319 [0.297, 0.343]</w:t>
            </w:r>
          </w:p>
        </w:tc>
        <w:tc>
          <w:tcPr>
            <w:tcW w:type="dxa" w:w="2080"/>
          </w:tcPr>
          <w:p>
            <w:pPr>
              <w:spacing w:after="0" w:line="240" w:lineRule="auto"/>
              <w:jc w:val="center"/>
            </w:pPr>
            <w:r/>
            <w:r>
              <w:rPr>
                <w:sz w:val="15"/>
              </w:rPr>
              <w:t>0.337 ± 0.006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RMSE</w:t>
            </w:r>
          </w:p>
        </w:tc>
        <w:tc>
          <w:tcPr>
            <w:tcW w:type="dxa" w:w="2600"/>
          </w:tcPr>
          <w:p>
            <w:pPr>
              <w:spacing w:after="0" w:line="240" w:lineRule="auto"/>
              <w:jc w:val="center"/>
            </w:pPr>
            <w:r/>
            <w:r>
              <w:rPr>
                <w:sz w:val="15"/>
              </w:rPr>
              <w:t>0.435 [0.403, 0.468]</w:t>
            </w:r>
          </w:p>
        </w:tc>
        <w:tc>
          <w:tcPr>
            <w:tcW w:type="dxa" w:w="2080"/>
          </w:tcPr>
          <w:p>
            <w:pPr>
              <w:spacing w:after="0" w:line="240" w:lineRule="auto"/>
              <w:jc w:val="center"/>
            </w:pPr>
            <w:r/>
            <w:r>
              <w:rPr>
                <w:sz w:val="15"/>
              </w:rPr>
              <w:t>0.458 ± 0.006</w:t>
            </w:r>
          </w:p>
        </w:tc>
      </w:tr>
      <w:tr>
        <w:tc>
          <w:tcPr>
            <w:tcW w:type="dxa" w:w="3640"/>
          </w:tcPr>
          <w:p>
            <w:pPr>
              <w:spacing w:after="0" w:line="240" w:lineRule="auto"/>
              <w:jc w:val="left"/>
            </w:pPr>
            <w:r/>
            <w:r>
              <w:rPr>
                <w:sz w:val="15"/>
              </w:rPr>
            </w:r>
          </w:p>
        </w:tc>
        <w:tc>
          <w:tcPr>
            <w:tcW w:type="dxa" w:w="1040"/>
          </w:tcPr>
          <w:p>
            <w:pPr>
              <w:spacing w:after="0" w:line="240" w:lineRule="auto"/>
              <w:jc w:val="center"/>
            </w:pPr>
            <w:r/>
            <w:r>
              <w:rPr>
                <w:sz w:val="15"/>
              </w:rPr>
              <w:t>GMFE</w:t>
            </w:r>
          </w:p>
        </w:tc>
        <w:tc>
          <w:tcPr>
            <w:tcW w:type="dxa" w:w="2600"/>
          </w:tcPr>
          <w:p>
            <w:pPr>
              <w:spacing w:after="0" w:line="240" w:lineRule="auto"/>
              <w:jc w:val="center"/>
            </w:pPr>
            <w:r/>
            <w:r>
              <w:rPr>
                <w:sz w:val="15"/>
              </w:rPr>
              <w:t>2.086 [1.980, 2.203]</w:t>
            </w:r>
          </w:p>
        </w:tc>
        <w:tc>
          <w:tcPr>
            <w:tcW w:type="dxa" w:w="2080"/>
          </w:tcPr>
          <w:p>
            <w:pPr>
              <w:spacing w:after="0" w:line="240" w:lineRule="auto"/>
              <w:jc w:val="center"/>
            </w:pPr>
            <w:r/>
            <w:r>
              <w:rPr>
                <w:sz w:val="15"/>
              </w:rPr>
              <w:t>2.173 ± 0.028</w:t>
            </w:r>
          </w:p>
        </w:tc>
      </w:tr>
      <w:tr>
        <w:tc>
          <w:tcPr>
            <w:tcW w:type="dxa" w:w="3640"/>
            <w:tcBorders>
              <w:bottom w:val="single" w:sz="6" w:space="0" w:color="000000"/>
            </w:tcBorders>
          </w:tcPr>
          <w:p>
            <w:pPr>
              <w:spacing w:after="0" w:line="240" w:lineRule="auto"/>
              <w:jc w:val="left"/>
            </w:pPr>
            <w:r/>
            <w:r>
              <w:rPr>
                <w:sz w:val="15"/>
              </w:rPr>
            </w:r>
          </w:p>
        </w:tc>
        <w:tc>
          <w:tcPr>
            <w:tcW w:type="dxa" w:w="1040"/>
            <w:tcBorders>
              <w:bottom w:val="single" w:sz="6" w:space="0" w:color="000000"/>
            </w:tcBorders>
          </w:tcPr>
          <w:p>
            <w:pPr>
              <w:spacing w:after="0" w:line="240" w:lineRule="auto"/>
              <w:jc w:val="center"/>
            </w:pPr>
            <w:r/>
            <w:r>
              <w:rPr>
                <w:sz w:val="15"/>
              </w:rPr>
              <w:t>W2F</w:t>
            </w:r>
          </w:p>
        </w:tc>
        <w:tc>
          <w:tcPr>
            <w:tcW w:type="dxa" w:w="2600"/>
            <w:tcBorders>
              <w:bottom w:val="single" w:sz="6" w:space="0" w:color="000000"/>
            </w:tcBorders>
          </w:tcPr>
          <w:p>
            <w:pPr>
              <w:spacing w:after="0" w:line="240" w:lineRule="auto"/>
              <w:jc w:val="center"/>
            </w:pPr>
            <w:r/>
            <w:r>
              <w:rPr>
                <w:sz w:val="15"/>
              </w:rPr>
              <w:t>0.613 [0.573, 0.649]</w:t>
            </w:r>
          </w:p>
        </w:tc>
        <w:tc>
          <w:tcPr>
            <w:tcW w:type="dxa" w:w="2080"/>
            <w:tcBorders>
              <w:bottom w:val="single" w:sz="6" w:space="0" w:color="000000"/>
            </w:tcBorders>
          </w:tcPr>
          <w:p>
            <w:pPr>
              <w:spacing w:after="0" w:line="240" w:lineRule="auto"/>
              <w:jc w:val="center"/>
            </w:pPr>
            <w:r/>
            <w:r>
              <w:rPr>
                <w:sz w:val="15"/>
              </w:rPr>
              <w:t>0.588 ± 0.015</w:t>
            </w:r>
          </w:p>
        </w:tc>
      </w:tr>
    </w:tbl>
    <w:p>
      <w:pPr>
        <w:spacing w:after="0"/>
      </w:pPr>
      <w:r>
        <w:rPr>
          <w:sz w:val="14"/>
        </w:rPr>
        <w:t>MAE and RMSE in log10 units; GMFE: geometric mean fold error; W2F: fraction within two-fold. LW: 1.25× training-loss weight for compounds with fu &lt; 0.006. CI and seed statistics as in Table I.</w:t>
      </w:r>
    </w:p>
    <w:p>
      <w:pPr>
        <w:spacing w:after="40"/>
      </w:pPr>
    </w:p>
    <w:p>
      <w:pPr>
        <w:jc w:val="center"/>
      </w:pPr>
      <w:r>
        <w:drawing>
          <wp:inline xmlns:a="http://schemas.openxmlformats.org/drawingml/2006/main" xmlns:pic="http://schemas.openxmlformats.org/drawingml/2006/picture">
            <wp:extent cx="5943600" cy="1493891"/>
            <wp:docPr id="1" name="Picture 1"/>
            <wp:cNvGraphicFramePr>
              <a:graphicFrameLocks noChangeAspect="1"/>
            </wp:cNvGraphicFramePr>
            <a:graphic>
              <a:graphicData uri="http://schemas.openxmlformats.org/drawingml/2006/picture">
                <pic:pic>
                  <pic:nvPicPr>
                    <pic:cNvPr id="0" name="fig1_parity.png"/>
                    <pic:cNvPicPr/>
                  </pic:nvPicPr>
                  <pic:blipFill>
                    <a:blip r:embed="rId9"/>
                    <a:stretch>
                      <a:fillRect/>
                    </a:stretch>
                  </pic:blipFill>
                  <pic:spPr>
                    <a:xfrm>
                      <a:off x="0" y="0"/>
                      <a:ext cx="5943600" cy="1493891"/>
                    </a:xfrm>
                    <a:prstGeom prst="rect"/>
                  </pic:spPr>
                </pic:pic>
              </a:graphicData>
            </a:graphic>
          </wp:inline>
        </w:drawing>
      </w:r>
    </w:p>
    <w:p>
      <w:pPr>
        <w:jc w:val="both"/>
      </w:pPr>
      <w:r>
        <w:rPr>
          <w:sz w:val="16"/>
        </w:rPr>
        <w:t xml:space="preserve">Fig. 1. </w:t>
      </w:r>
      <w:r>
        <w:rPr>
          <w:sz w:val="16"/>
        </w:rPr>
        <w:t>Predicted versus observed values on the official test sets for the proposed models (10-seed ensemble). The solid line is the identity; the shaded band marks ±1 pKa unit (pKa) or two-fold error (CL, VDss, Fu). Inset metrics are ensemble values from Tables I and II.</w:t>
      </w:r>
    </w:p>
    <w:p>
      <w:pPr>
        <w:pStyle w:val="Heading2"/>
      </w:pPr>
      <w:r>
        <w:t>B. Comparison With the Published Benchmark</w:t>
      </w:r>
    </w:p>
    <w:p>
      <w:pPr>
        <w:jc w:val="both"/>
      </w:pPr>
      <w:r>
        <w:rPr>
          <w:b w:val="0"/>
          <w:i w:val="0"/>
        </w:rPr>
        <w:t xml:space="preserve">Table III compares the 10-seed ensemble with the published benchmark values on the same official test splits: Jia et al. </w:t>
      </w:r>
      <w:r>
        <w:rPr>
          <w:b/>
          <w:i w:val="0"/>
          <w:color w:val="C00000"/>
        </w:rPr>
        <w:t>[REF: Jia et al., J. Med. Chem., 2025, 68(7), 7737–7750]</w:t>
      </w:r>
      <w:r>
        <w:rPr>
          <w:b w:val="0"/>
          <w:i w:val="0"/>
        </w:rPr>
        <w:t xml:space="preserve"> for CL, VDss and Fu, and </w:t>
      </w:r>
      <w:r>
        <w:rPr>
          <w:b/>
          <w:i w:val="0"/>
          <w:color w:val="C00000"/>
        </w:rPr>
        <w:t>[NEEDS: citation for the pKa benchmark]</w:t>
      </w:r>
      <w:r>
        <w:rPr>
          <w:b w:val="0"/>
          <w:i w:val="0"/>
        </w:rPr>
        <w:t xml:space="preserve"> for pKa. For most of the test set the benchmark reports aggregate values only, so Table III reports whether the published value lies inside the bootstrap 95% CI of the ensemble metric, and Fig. 2 shows the relative differences. The benchmark does, however, publish its own per-compound predictions for a 106-compound subset; Table IV compares the two models on those compounds with a paired test, which is the stronger comparison.</w:t>
      </w:r>
    </w:p>
    <w:p>
      <w:pPr>
        <w:jc w:val="both"/>
      </w:pPr>
      <w:r>
        <w:rPr>
          <w:b w:val="0"/>
          <w:i w:val="0"/>
        </w:rPr>
        <w:t>The ensemble improves on the published value in 16 of the 21 metric–endpoint pairs for which a benchmark value is available. On both pKa endpoints, all three metrics improve and the published value lies outside the ensemble CI: MAE decreases from 0.61 to 0.424 (acidic) and from 0.67 to 0.406 (basic). For VDss, all five metrics improve (GMFE 1.764 vs. 1.88; W2F 0.684 vs. 0.62); of these, only the MAE improvement places the published value outside the ensemble CI.</w:t>
      </w:r>
    </w:p>
    <w:p>
      <w:pPr>
        <w:jc w:val="both"/>
      </w:pPr>
      <w:r>
        <w:rPr>
          <w:b w:val="0"/>
          <w:i w:val="0"/>
        </w:rPr>
        <w:t>For CL, the ensemble improves on R², MAE and RMSE (R² 0.497 vs. 0.48) but trails on GMFE (2.018 vs. 2.00) and W2F (0.605 vs. 0.64). For Fu, the ensemble improves on R² (0.712 vs. 0.69) and W2F (0.613 vs. 0.60) and trails on MAE, RMSE and GMFE (2.086 vs. 2.01). For all ten CL and Fu metrics, the published value lies inside the ensemble 95% CI.</w:t>
      </w:r>
    </w:p>
    <w:p>
      <w:pPr>
        <w:jc w:val="both"/>
      </w:pPr>
      <w:r>
        <w:rPr>
          <w:b w:val="0"/>
          <w:i w:val="0"/>
        </w:rPr>
        <w:t>The comparison depends on whether the ensemble or an individual model is considered. Using the seed-mean metric instead of the ensemble, the proposed models still improve on all pKa and VDss benchmark values, but on 0 of 5 CL metrics and 0 of 5 Fu metrics (e.g., CL seed-mean R² 0.441 vs. 0.48; Fu seed-mean R² 0.681 vs. 0.69).</w:t>
      </w:r>
    </w:p>
    <w:p>
      <w:pPr>
        <w:keepNext/>
        <w:jc w:val="center"/>
      </w:pPr>
      <w:r>
        <w:rPr>
          <w:smallCaps/>
          <w:sz w:val="16"/>
        </w:rPr>
        <w:t>Table III</w:t>
        <w:br/>
      </w:r>
      <w:r>
        <w:rPr>
          <w:sz w:val="16"/>
        </w:rPr>
        <w:t>Comparison of the 10-seed ensemble with the published benchmark (official test splits)</w:t>
      </w:r>
    </w:p>
    <w:tbl>
      <w:tblPr>
        <w:tblW w:type="auto" w:w="0"/>
        <w:jc w:val="center"/>
        <w:tblLayout w:type="fixed"/>
        <w:tblLook w:firstColumn="1" w:firstRow="1" w:lastColumn="0" w:lastRow="0" w:noHBand="0" w:noVBand="1" w:val="04A0"/>
        <w:tblLayout w:type="fixed"/>
        <w:tblW w:w="9360" w:type="dxa"/>
      </w:tblPr>
      <w:tblGrid>
        <w:gridCol w:w="1337"/>
        <w:gridCol w:w="1337"/>
        <w:gridCol w:w="1337"/>
        <w:gridCol w:w="1337"/>
        <w:gridCol w:w="1337"/>
        <w:gridCol w:w="1337"/>
        <w:gridCol w:w="1337"/>
      </w:tblGrid>
      <w:tr>
        <w:tc>
          <w:tcPr>
            <w:tcW w:type="dxa" w:w="1520"/>
            <w:tcBorders>
              <w:top w:val="single" w:sz="6" w:space="0" w:color="000000"/>
              <w:bottom w:val="single" w:sz="6" w:space="0" w:color="000000"/>
            </w:tcBorders>
          </w:tcPr>
          <w:p>
            <w:pPr>
              <w:spacing w:after="0" w:line="240" w:lineRule="auto"/>
              <w:jc w:val="left"/>
            </w:pPr>
            <w:r/>
            <w:r>
              <w:rPr>
                <w:b/>
                <w:sz w:val="15"/>
              </w:rPr>
              <w:t>Endpoint</w:t>
            </w:r>
          </w:p>
        </w:tc>
        <w:tc>
          <w:tcPr>
            <w:tcW w:type="dxa" w:w="880"/>
            <w:tcBorders>
              <w:top w:val="single" w:sz="6" w:space="0" w:color="000000"/>
              <w:bottom w:val="single" w:sz="6" w:space="0" w:color="000000"/>
            </w:tcBorders>
          </w:tcPr>
          <w:p>
            <w:pPr>
              <w:spacing w:after="0" w:line="240" w:lineRule="auto"/>
              <w:jc w:val="center"/>
            </w:pPr>
            <w:r/>
            <w:r>
              <w:rPr>
                <w:b/>
                <w:sz w:val="15"/>
              </w:rPr>
              <w:t>Metric</w:t>
            </w:r>
          </w:p>
        </w:tc>
        <w:tc>
          <w:tcPr>
            <w:tcW w:type="dxa" w:w="1120"/>
            <w:tcBorders>
              <w:top w:val="single" w:sz="6" w:space="0" w:color="000000"/>
              <w:bottom w:val="single" w:sz="6" w:space="0" w:color="000000"/>
            </w:tcBorders>
          </w:tcPr>
          <w:p>
            <w:pPr>
              <w:spacing w:after="0" w:line="240" w:lineRule="auto"/>
              <w:jc w:val="center"/>
            </w:pPr>
            <w:r/>
            <w:r>
              <w:rPr>
                <w:b/>
                <w:sz w:val="15"/>
              </w:rPr>
              <w:t>Published</w:t>
            </w:r>
          </w:p>
        </w:tc>
        <w:tc>
          <w:tcPr>
            <w:tcW w:type="dxa" w:w="2320"/>
            <w:tcBorders>
              <w:top w:val="single" w:sz="6" w:space="0" w:color="000000"/>
              <w:bottom w:val="single" w:sz="6" w:space="0" w:color="000000"/>
            </w:tcBorders>
          </w:tcPr>
          <w:p>
            <w:pPr>
              <w:spacing w:after="0" w:line="240" w:lineRule="auto"/>
              <w:jc w:val="center"/>
            </w:pPr>
            <w:r/>
            <w:r>
              <w:rPr>
                <w:b/>
                <w:sz w:val="15"/>
              </w:rPr>
              <w:t>Ensemble [95% CI]</w:t>
            </w:r>
          </w:p>
        </w:tc>
        <w:tc>
          <w:tcPr>
            <w:tcW w:type="dxa" w:w="1360"/>
            <w:tcBorders>
              <w:top w:val="single" w:sz="6" w:space="0" w:color="000000"/>
              <w:bottom w:val="single" w:sz="6" w:space="0" w:color="000000"/>
            </w:tcBorders>
          </w:tcPr>
          <w:p>
            <w:pPr>
              <w:spacing w:after="0" w:line="240" w:lineRule="auto"/>
              <w:jc w:val="center"/>
            </w:pPr>
            <w:r/>
            <w:r>
              <w:rPr>
                <w:b/>
                <w:sz w:val="15"/>
              </w:rPr>
              <w:t>Δ (ens. − pub.)</w:t>
            </w:r>
          </w:p>
        </w:tc>
        <w:tc>
          <w:tcPr>
            <w:tcW w:type="dxa" w:w="1040"/>
            <w:tcBorders>
              <w:top w:val="single" w:sz="6" w:space="0" w:color="000000"/>
              <w:bottom w:val="single" w:sz="6" w:space="0" w:color="000000"/>
            </w:tcBorders>
          </w:tcPr>
          <w:p>
            <w:pPr>
              <w:spacing w:after="0" w:line="240" w:lineRule="auto"/>
              <w:jc w:val="center"/>
            </w:pPr>
            <w:r/>
            <w:r>
              <w:rPr>
                <w:b/>
                <w:sz w:val="15"/>
              </w:rPr>
              <w:t>Pub. in CI</w:t>
            </w:r>
          </w:p>
        </w:tc>
        <w:tc>
          <w:tcPr>
            <w:tcW w:type="dxa" w:w="1120"/>
            <w:tcBorders>
              <w:top w:val="single" w:sz="6" w:space="0" w:color="000000"/>
              <w:bottom w:val="single" w:sz="6" w:space="0" w:color="000000"/>
            </w:tcBorders>
          </w:tcPr>
          <w:p>
            <w:pPr>
              <w:spacing w:after="0" w:line="240" w:lineRule="auto"/>
              <w:jc w:val="center"/>
            </w:pPr>
            <w:r/>
            <w:r>
              <w:rPr>
                <w:b/>
                <w:sz w:val="15"/>
              </w:rPr>
              <w:t>Seed mean</w:t>
            </w:r>
          </w:p>
        </w:tc>
      </w:tr>
      <w:tr>
        <w:tc>
          <w:tcPr>
            <w:tcW w:type="dxa" w:w="1520"/>
          </w:tcPr>
          <w:p>
            <w:pPr>
              <w:spacing w:after="0" w:line="240" w:lineRule="auto"/>
              <w:jc w:val="left"/>
            </w:pPr>
            <w:r/>
            <w:r>
              <w:rPr>
                <w:sz w:val="15"/>
              </w:rPr>
              <w:t>pKa (acidic)</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0.94</w:t>
            </w:r>
          </w:p>
        </w:tc>
        <w:tc>
          <w:tcPr>
            <w:tcW w:type="dxa" w:w="2320"/>
          </w:tcPr>
          <w:p>
            <w:pPr>
              <w:spacing w:after="0" w:line="240" w:lineRule="auto"/>
              <w:jc w:val="center"/>
            </w:pPr>
            <w:r/>
            <w:r>
              <w:rPr>
                <w:b/>
                <w:sz w:val="15"/>
              </w:rPr>
              <w:t>0.969 [0.956, 0.979]</w:t>
            </w:r>
          </w:p>
        </w:tc>
        <w:tc>
          <w:tcPr>
            <w:tcW w:type="dxa" w:w="1360"/>
          </w:tcPr>
          <w:p>
            <w:pPr>
              <w:spacing w:after="0" w:line="240" w:lineRule="auto"/>
              <w:jc w:val="center"/>
            </w:pPr>
            <w:r/>
            <w:r>
              <w:rPr>
                <w:sz w:val="15"/>
              </w:rPr>
              <w:t>+0.029</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0.963</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0.61</w:t>
            </w:r>
          </w:p>
        </w:tc>
        <w:tc>
          <w:tcPr>
            <w:tcW w:type="dxa" w:w="2320"/>
          </w:tcPr>
          <w:p>
            <w:pPr>
              <w:spacing w:after="0" w:line="240" w:lineRule="auto"/>
              <w:jc w:val="center"/>
            </w:pPr>
            <w:r/>
            <w:r>
              <w:rPr>
                <w:b/>
                <w:sz w:val="15"/>
              </w:rPr>
              <w:t>0.424 [0.383, 0.471]</w:t>
            </w:r>
          </w:p>
        </w:tc>
        <w:tc>
          <w:tcPr>
            <w:tcW w:type="dxa" w:w="1360"/>
          </w:tcPr>
          <w:p>
            <w:pPr>
              <w:spacing w:after="0" w:line="240" w:lineRule="auto"/>
              <w:jc w:val="center"/>
            </w:pPr>
            <w:r/>
            <w:r>
              <w:rPr>
                <w:sz w:val="15"/>
              </w:rPr>
              <w:t>−0.186</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0.484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1.05</w:t>
            </w:r>
          </w:p>
        </w:tc>
        <w:tc>
          <w:tcPr>
            <w:tcW w:type="dxa" w:w="2320"/>
          </w:tcPr>
          <w:p>
            <w:pPr>
              <w:spacing w:after="0" w:line="240" w:lineRule="auto"/>
              <w:jc w:val="center"/>
            </w:pPr>
            <w:r/>
            <w:r>
              <w:rPr>
                <w:b/>
                <w:sz w:val="15"/>
              </w:rPr>
              <w:t>0.757 [0.622, 0.899]</w:t>
            </w:r>
          </w:p>
        </w:tc>
        <w:tc>
          <w:tcPr>
            <w:tcW w:type="dxa" w:w="1360"/>
          </w:tcPr>
          <w:p>
            <w:pPr>
              <w:spacing w:after="0" w:line="240" w:lineRule="auto"/>
              <w:jc w:val="center"/>
            </w:pPr>
            <w:r/>
            <w:r>
              <w:rPr>
                <w:sz w:val="15"/>
              </w:rPr>
              <w:t>−0.293</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0.820</w:t>
            </w:r>
          </w:p>
        </w:tc>
      </w:tr>
      <w:tr>
        <w:tc>
          <w:tcPr>
            <w:tcW w:type="dxa" w:w="1520"/>
          </w:tcPr>
          <w:p>
            <w:pPr>
              <w:spacing w:after="0" w:line="240" w:lineRule="auto"/>
              <w:jc w:val="left"/>
            </w:pPr>
            <w:r/>
            <w:r>
              <w:rPr>
                <w:sz w:val="15"/>
              </w:rPr>
              <w:t>pKa (basic)</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0.91</w:t>
            </w:r>
          </w:p>
        </w:tc>
        <w:tc>
          <w:tcPr>
            <w:tcW w:type="dxa" w:w="2320"/>
          </w:tcPr>
          <w:p>
            <w:pPr>
              <w:spacing w:after="0" w:line="240" w:lineRule="auto"/>
              <w:jc w:val="center"/>
            </w:pPr>
            <w:r/>
            <w:r>
              <w:rPr>
                <w:b/>
                <w:sz w:val="15"/>
              </w:rPr>
              <w:t>0.950 [0.936, 0.962]</w:t>
            </w:r>
          </w:p>
        </w:tc>
        <w:tc>
          <w:tcPr>
            <w:tcW w:type="dxa" w:w="1360"/>
          </w:tcPr>
          <w:p>
            <w:pPr>
              <w:spacing w:after="0" w:line="240" w:lineRule="auto"/>
              <w:jc w:val="center"/>
            </w:pPr>
            <w:r/>
            <w:r>
              <w:rPr>
                <w:sz w:val="15"/>
              </w:rPr>
              <w:t>+0.040</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0.940</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0.67</w:t>
            </w:r>
          </w:p>
        </w:tc>
        <w:tc>
          <w:tcPr>
            <w:tcW w:type="dxa" w:w="2320"/>
          </w:tcPr>
          <w:p>
            <w:pPr>
              <w:spacing w:after="0" w:line="240" w:lineRule="auto"/>
              <w:jc w:val="center"/>
            </w:pPr>
            <w:r/>
            <w:r>
              <w:rPr>
                <w:b/>
                <w:sz w:val="15"/>
              </w:rPr>
              <w:t>0.406 [0.372, 0.442]</w:t>
            </w:r>
          </w:p>
        </w:tc>
        <w:tc>
          <w:tcPr>
            <w:tcW w:type="dxa" w:w="1360"/>
          </w:tcPr>
          <w:p>
            <w:pPr>
              <w:spacing w:after="0" w:line="240" w:lineRule="auto"/>
              <w:jc w:val="center"/>
            </w:pPr>
            <w:r/>
            <w:r>
              <w:rPr>
                <w:sz w:val="15"/>
              </w:rPr>
              <w:t>−0.264</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0.461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0.98</w:t>
            </w:r>
          </w:p>
        </w:tc>
        <w:tc>
          <w:tcPr>
            <w:tcW w:type="dxa" w:w="2320"/>
          </w:tcPr>
          <w:p>
            <w:pPr>
              <w:spacing w:after="0" w:line="240" w:lineRule="auto"/>
              <w:jc w:val="center"/>
            </w:pPr>
            <w:r/>
            <w:r>
              <w:rPr>
                <w:b/>
                <w:sz w:val="15"/>
              </w:rPr>
              <w:t>0.654 [0.572, 0.743]</w:t>
            </w:r>
          </w:p>
        </w:tc>
        <w:tc>
          <w:tcPr>
            <w:tcW w:type="dxa" w:w="1360"/>
          </w:tcPr>
          <w:p>
            <w:pPr>
              <w:spacing w:after="0" w:line="240" w:lineRule="auto"/>
              <w:jc w:val="center"/>
            </w:pPr>
            <w:r/>
            <w:r>
              <w:rPr>
                <w:sz w:val="15"/>
              </w:rPr>
              <w:t>−0.326</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0.720</w:t>
            </w:r>
          </w:p>
        </w:tc>
      </w:tr>
      <w:tr>
        <w:tc>
          <w:tcPr>
            <w:tcW w:type="dxa" w:w="1520"/>
          </w:tcPr>
          <w:p>
            <w:pPr>
              <w:spacing w:after="0" w:line="240" w:lineRule="auto"/>
              <w:jc w:val="left"/>
            </w:pPr>
            <w:r/>
            <w:r>
              <w:rPr>
                <w:sz w:val="15"/>
              </w:rPr>
              <w:t>CL</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0.48</w:t>
            </w:r>
          </w:p>
        </w:tc>
        <w:tc>
          <w:tcPr>
            <w:tcW w:type="dxa" w:w="2320"/>
          </w:tcPr>
          <w:p>
            <w:pPr>
              <w:spacing w:after="0" w:line="240" w:lineRule="auto"/>
              <w:jc w:val="center"/>
            </w:pPr>
            <w:r/>
            <w:r>
              <w:rPr>
                <w:b/>
                <w:sz w:val="15"/>
              </w:rPr>
              <w:t>0.497 [0.366, 0.602]</w:t>
            </w:r>
          </w:p>
        </w:tc>
        <w:tc>
          <w:tcPr>
            <w:tcW w:type="dxa" w:w="1360"/>
          </w:tcPr>
          <w:p>
            <w:pPr>
              <w:spacing w:after="0" w:line="240" w:lineRule="auto"/>
              <w:jc w:val="center"/>
            </w:pPr>
            <w:r/>
            <w:r>
              <w:rPr>
                <w:sz w:val="15"/>
              </w:rPr>
              <w:t>+0.017</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0.441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0.31</w:t>
            </w:r>
          </w:p>
        </w:tc>
        <w:tc>
          <w:tcPr>
            <w:tcW w:type="dxa" w:w="2320"/>
          </w:tcPr>
          <w:p>
            <w:pPr>
              <w:spacing w:after="0" w:line="240" w:lineRule="auto"/>
              <w:jc w:val="center"/>
            </w:pPr>
            <w:r/>
            <w:r>
              <w:rPr>
                <w:b/>
                <w:sz w:val="15"/>
              </w:rPr>
              <w:t>0.305 [0.265, 0.347]</w:t>
            </w:r>
          </w:p>
        </w:tc>
        <w:tc>
          <w:tcPr>
            <w:tcW w:type="dxa" w:w="1360"/>
          </w:tcPr>
          <w:p>
            <w:pPr>
              <w:spacing w:after="0" w:line="240" w:lineRule="auto"/>
              <w:jc w:val="center"/>
            </w:pPr>
            <w:r/>
            <w:r>
              <w:rPr>
                <w:sz w:val="15"/>
              </w:rPr>
              <w:t>−0.005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0.324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0.42</w:t>
            </w:r>
          </w:p>
        </w:tc>
        <w:tc>
          <w:tcPr>
            <w:tcW w:type="dxa" w:w="2320"/>
          </w:tcPr>
          <w:p>
            <w:pPr>
              <w:spacing w:after="0" w:line="240" w:lineRule="auto"/>
              <w:jc w:val="center"/>
            </w:pPr>
            <w:r/>
            <w:r>
              <w:rPr>
                <w:b/>
                <w:sz w:val="15"/>
              </w:rPr>
              <w:t>0.412 [0.357, 0.468]</w:t>
            </w:r>
          </w:p>
        </w:tc>
        <w:tc>
          <w:tcPr>
            <w:tcW w:type="dxa" w:w="1360"/>
          </w:tcPr>
          <w:p>
            <w:pPr>
              <w:spacing w:after="0" w:line="240" w:lineRule="auto"/>
              <w:jc w:val="center"/>
            </w:pPr>
            <w:r/>
            <w:r>
              <w:rPr>
                <w:sz w:val="15"/>
              </w:rPr>
              <w:t>−0.008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0.435</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b/>
                <w:sz w:val="15"/>
              </w:rPr>
              <w:t>2.00</w:t>
            </w:r>
          </w:p>
        </w:tc>
        <w:tc>
          <w:tcPr>
            <w:tcW w:type="dxa" w:w="2320"/>
          </w:tcPr>
          <w:p>
            <w:pPr>
              <w:spacing w:after="0" w:line="240" w:lineRule="auto"/>
              <w:jc w:val="center"/>
            </w:pPr>
            <w:r/>
            <w:r>
              <w:rPr>
                <w:sz w:val="15"/>
              </w:rPr>
              <w:t>2.018 [1.841, 2.222]</w:t>
            </w:r>
          </w:p>
        </w:tc>
        <w:tc>
          <w:tcPr>
            <w:tcW w:type="dxa" w:w="1360"/>
          </w:tcPr>
          <w:p>
            <w:pPr>
              <w:spacing w:after="0" w:line="240" w:lineRule="auto"/>
              <w:jc w:val="center"/>
            </w:pPr>
            <w:r/>
            <w:r>
              <w:rPr>
                <w:sz w:val="15"/>
              </w:rPr>
              <w:t>+0.018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2.109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W2F</w:t>
            </w:r>
          </w:p>
        </w:tc>
        <w:tc>
          <w:tcPr>
            <w:tcW w:type="dxa" w:w="1120"/>
          </w:tcPr>
          <w:p>
            <w:pPr>
              <w:spacing w:after="0" w:line="240" w:lineRule="auto"/>
              <w:jc w:val="center"/>
            </w:pPr>
            <w:r/>
            <w:r>
              <w:rPr>
                <w:b/>
                <w:sz w:val="15"/>
              </w:rPr>
              <w:t>0.64</w:t>
            </w:r>
          </w:p>
        </w:tc>
        <w:tc>
          <w:tcPr>
            <w:tcW w:type="dxa" w:w="2320"/>
          </w:tcPr>
          <w:p>
            <w:pPr>
              <w:spacing w:after="0" w:line="240" w:lineRule="auto"/>
              <w:jc w:val="center"/>
            </w:pPr>
            <w:r/>
            <w:r>
              <w:rPr>
                <w:sz w:val="15"/>
              </w:rPr>
              <w:t>0.605 [0.531, 0.678]</w:t>
            </w:r>
          </w:p>
        </w:tc>
        <w:tc>
          <w:tcPr>
            <w:tcW w:type="dxa" w:w="1360"/>
          </w:tcPr>
          <w:p>
            <w:pPr>
              <w:spacing w:after="0" w:line="240" w:lineRule="auto"/>
              <w:jc w:val="center"/>
            </w:pPr>
            <w:r/>
            <w:r>
              <w:rPr>
                <w:sz w:val="15"/>
              </w:rPr>
              <w:t>−0.035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0.579</w:t>
            </w:r>
          </w:p>
        </w:tc>
      </w:tr>
      <w:tr>
        <w:tc>
          <w:tcPr>
            <w:tcW w:type="dxa" w:w="1520"/>
          </w:tcPr>
          <w:p>
            <w:pPr>
              <w:spacing w:after="0" w:line="240" w:lineRule="auto"/>
              <w:jc w:val="left"/>
            </w:pPr>
            <w:r/>
            <w:r>
              <w:rPr>
                <w:sz w:val="15"/>
              </w:rPr>
              <w:t>VDss</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0.60</w:t>
            </w:r>
          </w:p>
        </w:tc>
        <w:tc>
          <w:tcPr>
            <w:tcW w:type="dxa" w:w="2320"/>
          </w:tcPr>
          <w:p>
            <w:pPr>
              <w:spacing w:after="0" w:line="240" w:lineRule="auto"/>
              <w:jc w:val="center"/>
            </w:pPr>
            <w:r/>
            <w:r>
              <w:rPr>
                <w:b/>
                <w:sz w:val="15"/>
              </w:rPr>
              <w:t>0.648 [0.547, 0.730]</w:t>
            </w:r>
          </w:p>
        </w:tc>
        <w:tc>
          <w:tcPr>
            <w:tcW w:type="dxa" w:w="1360"/>
          </w:tcPr>
          <w:p>
            <w:pPr>
              <w:spacing w:after="0" w:line="240" w:lineRule="auto"/>
              <w:jc w:val="center"/>
            </w:pPr>
            <w:r/>
            <w:r>
              <w:rPr>
                <w:sz w:val="15"/>
              </w:rPr>
              <w:t>+0.048</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0.609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sz w:val="15"/>
              </w:rPr>
              <w:t>0.28</w:t>
            </w:r>
          </w:p>
        </w:tc>
        <w:tc>
          <w:tcPr>
            <w:tcW w:type="dxa" w:w="2320"/>
          </w:tcPr>
          <w:p>
            <w:pPr>
              <w:spacing w:after="0" w:line="240" w:lineRule="auto"/>
              <w:jc w:val="center"/>
            </w:pPr>
            <w:r/>
            <w:r>
              <w:rPr>
                <w:b/>
                <w:sz w:val="15"/>
              </w:rPr>
              <w:t>0.247 [0.216, 0.280]</w:t>
            </w:r>
          </w:p>
        </w:tc>
        <w:tc>
          <w:tcPr>
            <w:tcW w:type="dxa" w:w="1360"/>
          </w:tcPr>
          <w:p>
            <w:pPr>
              <w:spacing w:after="0" w:line="240" w:lineRule="auto"/>
              <w:jc w:val="center"/>
            </w:pPr>
            <w:r/>
            <w:r>
              <w:rPr>
                <w:sz w:val="15"/>
              </w:rPr>
              <w:t>−0.033</w:t>
            </w:r>
          </w:p>
        </w:tc>
        <w:tc>
          <w:tcPr>
            <w:tcW w:type="dxa" w:w="1040"/>
          </w:tcPr>
          <w:p>
            <w:pPr>
              <w:spacing w:after="0" w:line="240" w:lineRule="auto"/>
              <w:jc w:val="center"/>
            </w:pPr>
            <w:r/>
            <w:r>
              <w:rPr>
                <w:sz w:val="15"/>
              </w:rPr>
              <w:t>no</w:t>
            </w:r>
          </w:p>
        </w:tc>
        <w:tc>
          <w:tcPr>
            <w:tcW w:type="dxa" w:w="1120"/>
          </w:tcPr>
          <w:p>
            <w:pPr>
              <w:spacing w:after="0" w:line="240" w:lineRule="auto"/>
              <w:jc w:val="center"/>
            </w:pPr>
            <w:r/>
            <w:r>
              <w:rPr>
                <w:sz w:val="15"/>
              </w:rPr>
              <w:t>0.259</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sz w:val="15"/>
              </w:rPr>
              <w:t>0.35</w:t>
            </w:r>
          </w:p>
        </w:tc>
        <w:tc>
          <w:tcPr>
            <w:tcW w:type="dxa" w:w="2320"/>
          </w:tcPr>
          <w:p>
            <w:pPr>
              <w:spacing w:after="0" w:line="240" w:lineRule="auto"/>
              <w:jc w:val="center"/>
            </w:pPr>
            <w:r/>
            <w:r>
              <w:rPr>
                <w:b/>
                <w:sz w:val="15"/>
              </w:rPr>
              <w:t>0.328 [0.284, 0.371]</w:t>
            </w:r>
          </w:p>
        </w:tc>
        <w:tc>
          <w:tcPr>
            <w:tcW w:type="dxa" w:w="1360"/>
          </w:tcPr>
          <w:p>
            <w:pPr>
              <w:spacing w:after="0" w:line="240" w:lineRule="auto"/>
              <w:jc w:val="center"/>
            </w:pPr>
            <w:r/>
            <w:r>
              <w:rPr>
                <w:sz w:val="15"/>
              </w:rPr>
              <w:t>−0.022</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0.345</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sz w:val="15"/>
              </w:rPr>
              <w:t>1.88</w:t>
            </w:r>
          </w:p>
        </w:tc>
        <w:tc>
          <w:tcPr>
            <w:tcW w:type="dxa" w:w="2320"/>
          </w:tcPr>
          <w:p>
            <w:pPr>
              <w:spacing w:after="0" w:line="240" w:lineRule="auto"/>
              <w:jc w:val="center"/>
            </w:pPr>
            <w:r/>
            <w:r>
              <w:rPr>
                <w:b/>
                <w:sz w:val="15"/>
              </w:rPr>
              <w:t>1.764 [1.643, 1.904]</w:t>
            </w:r>
          </w:p>
        </w:tc>
        <w:tc>
          <w:tcPr>
            <w:tcW w:type="dxa" w:w="1360"/>
          </w:tcPr>
          <w:p>
            <w:pPr>
              <w:spacing w:after="0" w:line="240" w:lineRule="auto"/>
              <w:jc w:val="center"/>
            </w:pPr>
            <w:r/>
            <w:r>
              <w:rPr>
                <w:sz w:val="15"/>
              </w:rPr>
              <w:t>−0.116</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1.814</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W2F</w:t>
            </w:r>
          </w:p>
        </w:tc>
        <w:tc>
          <w:tcPr>
            <w:tcW w:type="dxa" w:w="1120"/>
          </w:tcPr>
          <w:p>
            <w:pPr>
              <w:spacing w:after="0" w:line="240" w:lineRule="auto"/>
              <w:jc w:val="center"/>
            </w:pPr>
            <w:r/>
            <w:r>
              <w:rPr>
                <w:sz w:val="15"/>
              </w:rPr>
              <w:t>0.62</w:t>
            </w:r>
          </w:p>
        </w:tc>
        <w:tc>
          <w:tcPr>
            <w:tcW w:type="dxa" w:w="2320"/>
          </w:tcPr>
          <w:p>
            <w:pPr>
              <w:spacing w:after="0" w:line="240" w:lineRule="auto"/>
              <w:jc w:val="center"/>
            </w:pPr>
            <w:r/>
            <w:r>
              <w:rPr>
                <w:b/>
                <w:sz w:val="15"/>
              </w:rPr>
              <w:t>0.684 [0.616, 0.751]</w:t>
            </w:r>
          </w:p>
        </w:tc>
        <w:tc>
          <w:tcPr>
            <w:tcW w:type="dxa" w:w="1360"/>
          </w:tcPr>
          <w:p>
            <w:pPr>
              <w:spacing w:after="0" w:line="240" w:lineRule="auto"/>
              <w:jc w:val="center"/>
            </w:pPr>
            <w:r/>
            <w:r>
              <w:rPr>
                <w:sz w:val="15"/>
              </w:rPr>
              <w:t>+0.064</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0.670</w:t>
            </w:r>
          </w:p>
        </w:tc>
      </w:tr>
      <w:tr>
        <w:tc>
          <w:tcPr>
            <w:tcW w:type="dxa" w:w="1520"/>
          </w:tcPr>
          <w:p>
            <w:pPr>
              <w:spacing w:after="0" w:line="240" w:lineRule="auto"/>
              <w:jc w:val="left"/>
            </w:pPr>
            <w:r/>
            <w:r>
              <w:rPr>
                <w:sz w:val="15"/>
              </w:rPr>
              <w:t>Fu</w:t>
            </w:r>
          </w:p>
        </w:tc>
        <w:tc>
          <w:tcPr>
            <w:tcW w:type="dxa" w:w="880"/>
          </w:tcPr>
          <w:p>
            <w:pPr>
              <w:spacing w:after="0" w:line="240" w:lineRule="auto"/>
              <w:jc w:val="center"/>
            </w:pPr>
            <w:r/>
            <w:r>
              <w:rPr>
                <w:sz w:val="15"/>
              </w:rPr>
              <w:t>R²</w:t>
            </w:r>
          </w:p>
        </w:tc>
        <w:tc>
          <w:tcPr>
            <w:tcW w:type="dxa" w:w="1120"/>
          </w:tcPr>
          <w:p>
            <w:pPr>
              <w:spacing w:after="0" w:line="240" w:lineRule="auto"/>
              <w:jc w:val="center"/>
            </w:pPr>
            <w:r/>
            <w:r>
              <w:rPr>
                <w:sz w:val="15"/>
              </w:rPr>
              <w:t>0.69</w:t>
            </w:r>
          </w:p>
        </w:tc>
        <w:tc>
          <w:tcPr>
            <w:tcW w:type="dxa" w:w="2320"/>
          </w:tcPr>
          <w:p>
            <w:pPr>
              <w:spacing w:after="0" w:line="240" w:lineRule="auto"/>
              <w:jc w:val="center"/>
            </w:pPr>
            <w:r/>
            <w:r>
              <w:rPr>
                <w:b/>
                <w:sz w:val="15"/>
              </w:rPr>
              <w:t>0.712 [0.671, 0.749]</w:t>
            </w:r>
          </w:p>
        </w:tc>
        <w:tc>
          <w:tcPr>
            <w:tcW w:type="dxa" w:w="1360"/>
          </w:tcPr>
          <w:p>
            <w:pPr>
              <w:spacing w:after="0" w:line="240" w:lineRule="auto"/>
              <w:jc w:val="center"/>
            </w:pPr>
            <w:r/>
            <w:r>
              <w:rPr>
                <w:sz w:val="15"/>
              </w:rPr>
              <w:t>+0.022</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0.681</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MAE</w:t>
            </w:r>
          </w:p>
        </w:tc>
        <w:tc>
          <w:tcPr>
            <w:tcW w:type="dxa" w:w="1120"/>
          </w:tcPr>
          <w:p>
            <w:pPr>
              <w:spacing w:after="0" w:line="240" w:lineRule="auto"/>
              <w:jc w:val="center"/>
            </w:pPr>
            <w:r/>
            <w:r>
              <w:rPr>
                <w:b/>
                <w:sz w:val="15"/>
              </w:rPr>
              <w:t>0.30</w:t>
            </w:r>
          </w:p>
        </w:tc>
        <w:tc>
          <w:tcPr>
            <w:tcW w:type="dxa" w:w="2320"/>
          </w:tcPr>
          <w:p>
            <w:pPr>
              <w:spacing w:after="0" w:line="240" w:lineRule="auto"/>
              <w:jc w:val="center"/>
            </w:pPr>
            <w:r/>
            <w:r>
              <w:rPr>
                <w:sz w:val="15"/>
              </w:rPr>
              <w:t>0.319 [0.297, 0.343]</w:t>
            </w:r>
          </w:p>
        </w:tc>
        <w:tc>
          <w:tcPr>
            <w:tcW w:type="dxa" w:w="1360"/>
          </w:tcPr>
          <w:p>
            <w:pPr>
              <w:spacing w:after="0" w:line="240" w:lineRule="auto"/>
              <w:jc w:val="center"/>
            </w:pPr>
            <w:r/>
            <w:r>
              <w:rPr>
                <w:sz w:val="15"/>
              </w:rPr>
              <w:t>+0.019</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0.337</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RMSE</w:t>
            </w:r>
          </w:p>
        </w:tc>
        <w:tc>
          <w:tcPr>
            <w:tcW w:type="dxa" w:w="1120"/>
          </w:tcPr>
          <w:p>
            <w:pPr>
              <w:spacing w:after="0" w:line="240" w:lineRule="auto"/>
              <w:jc w:val="center"/>
            </w:pPr>
            <w:r/>
            <w:r>
              <w:rPr>
                <w:b/>
                <w:sz w:val="15"/>
              </w:rPr>
              <w:t>0.41</w:t>
            </w:r>
          </w:p>
        </w:tc>
        <w:tc>
          <w:tcPr>
            <w:tcW w:type="dxa" w:w="2320"/>
          </w:tcPr>
          <w:p>
            <w:pPr>
              <w:spacing w:after="0" w:line="240" w:lineRule="auto"/>
              <w:jc w:val="center"/>
            </w:pPr>
            <w:r/>
            <w:r>
              <w:rPr>
                <w:sz w:val="15"/>
              </w:rPr>
              <w:t>0.435 [0.403, 0.468]</w:t>
            </w:r>
          </w:p>
        </w:tc>
        <w:tc>
          <w:tcPr>
            <w:tcW w:type="dxa" w:w="1360"/>
          </w:tcPr>
          <w:p>
            <w:pPr>
              <w:spacing w:after="0" w:line="240" w:lineRule="auto"/>
              <w:jc w:val="center"/>
            </w:pPr>
            <w:r/>
            <w:r>
              <w:rPr>
                <w:sz w:val="15"/>
              </w:rPr>
              <w:t>+0.025</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0.458</w:t>
            </w:r>
          </w:p>
        </w:tc>
      </w:tr>
      <w:tr>
        <w:tc>
          <w:tcPr>
            <w:tcW w:type="dxa" w:w="1520"/>
          </w:tcPr>
          <w:p>
            <w:pPr>
              <w:spacing w:after="0" w:line="240" w:lineRule="auto"/>
              <w:jc w:val="left"/>
            </w:pPr>
            <w:r/>
            <w:r>
              <w:rPr>
                <w:sz w:val="15"/>
              </w:rPr>
            </w:r>
          </w:p>
        </w:tc>
        <w:tc>
          <w:tcPr>
            <w:tcW w:type="dxa" w:w="880"/>
          </w:tcPr>
          <w:p>
            <w:pPr>
              <w:spacing w:after="0" w:line="240" w:lineRule="auto"/>
              <w:jc w:val="center"/>
            </w:pPr>
            <w:r/>
            <w:r>
              <w:rPr>
                <w:sz w:val="15"/>
              </w:rPr>
              <w:t>GMFE</w:t>
            </w:r>
          </w:p>
        </w:tc>
        <w:tc>
          <w:tcPr>
            <w:tcW w:type="dxa" w:w="1120"/>
          </w:tcPr>
          <w:p>
            <w:pPr>
              <w:spacing w:after="0" w:line="240" w:lineRule="auto"/>
              <w:jc w:val="center"/>
            </w:pPr>
            <w:r/>
            <w:r>
              <w:rPr>
                <w:b/>
                <w:sz w:val="15"/>
              </w:rPr>
              <w:t>2.01</w:t>
            </w:r>
          </w:p>
        </w:tc>
        <w:tc>
          <w:tcPr>
            <w:tcW w:type="dxa" w:w="2320"/>
          </w:tcPr>
          <w:p>
            <w:pPr>
              <w:spacing w:after="0" w:line="240" w:lineRule="auto"/>
              <w:jc w:val="center"/>
            </w:pPr>
            <w:r/>
            <w:r>
              <w:rPr>
                <w:sz w:val="15"/>
              </w:rPr>
              <w:t>2.086 [1.980, 2.203]</w:t>
            </w:r>
          </w:p>
        </w:tc>
        <w:tc>
          <w:tcPr>
            <w:tcW w:type="dxa" w:w="1360"/>
          </w:tcPr>
          <w:p>
            <w:pPr>
              <w:spacing w:after="0" w:line="240" w:lineRule="auto"/>
              <w:jc w:val="center"/>
            </w:pPr>
            <w:r/>
            <w:r>
              <w:rPr>
                <w:sz w:val="15"/>
              </w:rPr>
              <w:t>+0.076</w:t>
            </w:r>
          </w:p>
        </w:tc>
        <w:tc>
          <w:tcPr>
            <w:tcW w:type="dxa" w:w="1040"/>
          </w:tcPr>
          <w:p>
            <w:pPr>
              <w:spacing w:after="0" w:line="240" w:lineRule="auto"/>
              <w:jc w:val="center"/>
            </w:pPr>
            <w:r/>
            <w:r>
              <w:rPr>
                <w:sz w:val="15"/>
              </w:rPr>
              <w:t>yes</w:t>
            </w:r>
          </w:p>
        </w:tc>
        <w:tc>
          <w:tcPr>
            <w:tcW w:type="dxa" w:w="1120"/>
          </w:tcPr>
          <w:p>
            <w:pPr>
              <w:spacing w:after="0" w:line="240" w:lineRule="auto"/>
              <w:jc w:val="center"/>
            </w:pPr>
            <w:r/>
            <w:r>
              <w:rPr>
                <w:sz w:val="15"/>
              </w:rPr>
              <w:t>2.173</w:t>
            </w:r>
          </w:p>
        </w:tc>
      </w:tr>
      <w:tr>
        <w:tc>
          <w:tcPr>
            <w:tcW w:type="dxa" w:w="1520"/>
            <w:tcBorders>
              <w:bottom w:val="single" w:sz="6" w:space="0" w:color="000000"/>
            </w:tcBorders>
          </w:tcPr>
          <w:p>
            <w:pPr>
              <w:spacing w:after="0" w:line="240" w:lineRule="auto"/>
              <w:jc w:val="left"/>
            </w:pPr>
            <w:r/>
            <w:r>
              <w:rPr>
                <w:sz w:val="15"/>
              </w:rPr>
            </w:r>
          </w:p>
        </w:tc>
        <w:tc>
          <w:tcPr>
            <w:tcW w:type="dxa" w:w="880"/>
            <w:tcBorders>
              <w:bottom w:val="single" w:sz="6" w:space="0" w:color="000000"/>
            </w:tcBorders>
          </w:tcPr>
          <w:p>
            <w:pPr>
              <w:spacing w:after="0" w:line="240" w:lineRule="auto"/>
              <w:jc w:val="center"/>
            </w:pPr>
            <w:r/>
            <w:r>
              <w:rPr>
                <w:sz w:val="15"/>
              </w:rPr>
              <w:t>W2F</w:t>
            </w:r>
          </w:p>
        </w:tc>
        <w:tc>
          <w:tcPr>
            <w:tcW w:type="dxa" w:w="1120"/>
            <w:tcBorders>
              <w:bottom w:val="single" w:sz="6" w:space="0" w:color="000000"/>
            </w:tcBorders>
          </w:tcPr>
          <w:p>
            <w:pPr>
              <w:spacing w:after="0" w:line="240" w:lineRule="auto"/>
              <w:jc w:val="center"/>
            </w:pPr>
            <w:r/>
            <w:r>
              <w:rPr>
                <w:sz w:val="15"/>
              </w:rPr>
              <w:t>0.60</w:t>
            </w:r>
          </w:p>
        </w:tc>
        <w:tc>
          <w:tcPr>
            <w:tcW w:type="dxa" w:w="2320"/>
            <w:tcBorders>
              <w:bottom w:val="single" w:sz="6" w:space="0" w:color="000000"/>
            </w:tcBorders>
          </w:tcPr>
          <w:p>
            <w:pPr>
              <w:spacing w:after="0" w:line="240" w:lineRule="auto"/>
              <w:jc w:val="center"/>
            </w:pPr>
            <w:r/>
            <w:r>
              <w:rPr>
                <w:b/>
                <w:sz w:val="15"/>
              </w:rPr>
              <w:t>0.613 [0.573, 0.649]</w:t>
            </w:r>
          </w:p>
        </w:tc>
        <w:tc>
          <w:tcPr>
            <w:tcW w:type="dxa" w:w="1360"/>
            <w:tcBorders>
              <w:bottom w:val="single" w:sz="6" w:space="0" w:color="000000"/>
            </w:tcBorders>
          </w:tcPr>
          <w:p>
            <w:pPr>
              <w:spacing w:after="0" w:line="240" w:lineRule="auto"/>
              <w:jc w:val="center"/>
            </w:pPr>
            <w:r/>
            <w:r>
              <w:rPr>
                <w:sz w:val="15"/>
              </w:rPr>
              <w:t>+0.013</w:t>
            </w:r>
          </w:p>
        </w:tc>
        <w:tc>
          <w:tcPr>
            <w:tcW w:type="dxa" w:w="1040"/>
            <w:tcBorders>
              <w:bottom w:val="single" w:sz="6" w:space="0" w:color="000000"/>
            </w:tcBorders>
          </w:tcPr>
          <w:p>
            <w:pPr>
              <w:spacing w:after="0" w:line="240" w:lineRule="auto"/>
              <w:jc w:val="center"/>
            </w:pPr>
            <w:r/>
            <w:r>
              <w:rPr>
                <w:sz w:val="15"/>
              </w:rPr>
              <w:t>yes</w:t>
            </w:r>
          </w:p>
        </w:tc>
        <w:tc>
          <w:tcPr>
            <w:tcW w:type="dxa" w:w="1120"/>
            <w:tcBorders>
              <w:bottom w:val="single" w:sz="6" w:space="0" w:color="000000"/>
            </w:tcBorders>
          </w:tcPr>
          <w:p>
            <w:pPr>
              <w:spacing w:after="0" w:line="240" w:lineRule="auto"/>
              <w:jc w:val="center"/>
            </w:pPr>
            <w:r/>
            <w:r>
              <w:rPr>
                <w:sz w:val="15"/>
              </w:rPr>
              <w:t>0.588</w:t>
            </w:r>
          </w:p>
        </w:tc>
      </w:tr>
    </w:tbl>
    <w:p>
      <w:pPr>
        <w:spacing w:after="0"/>
      </w:pPr>
      <w:r>
        <w:rPr>
          <w:sz w:val="14"/>
        </w:rPr>
        <w:t>Bold marks the better value of Published vs. Ensemble. Published values: CL/VDss/Fu from Jia et al. [REF]; pKa from [NEEDS: citation]. No published W1/GMFE/W2F values are used for pKa. Published values were transcribed from the source; re-verify before submission.</w:t>
      </w:r>
    </w:p>
    <w:p>
      <w:pPr>
        <w:spacing w:after="40"/>
      </w:pPr>
    </w:p>
    <w:p>
      <w:pPr>
        <w:jc w:val="center"/>
      </w:pPr>
      <w:r>
        <w:drawing>
          <wp:inline xmlns:a="http://schemas.openxmlformats.org/drawingml/2006/main" xmlns:pic="http://schemas.openxmlformats.org/drawingml/2006/picture">
            <wp:extent cx="3108960" cy="3201765"/>
            <wp:docPr id="2" name="Picture 2"/>
            <wp:cNvGraphicFramePr>
              <a:graphicFrameLocks noChangeAspect="1"/>
            </wp:cNvGraphicFramePr>
            <a:graphic>
              <a:graphicData uri="http://schemas.openxmlformats.org/drawingml/2006/picture">
                <pic:pic>
                  <pic:nvPicPr>
                    <pic:cNvPr id="0" name="fig2_vs_paper.png"/>
                    <pic:cNvPicPr/>
                  </pic:nvPicPr>
                  <pic:blipFill>
                    <a:blip r:embed="rId10"/>
                    <a:stretch>
                      <a:fillRect/>
                    </a:stretch>
                  </pic:blipFill>
                  <pic:spPr>
                    <a:xfrm>
                      <a:off x="0" y="0"/>
                      <a:ext cx="3108960" cy="3201765"/>
                    </a:xfrm>
                    <a:prstGeom prst="rect"/>
                  </pic:spPr>
                </pic:pic>
              </a:graphicData>
            </a:graphic>
          </wp:inline>
        </w:drawing>
      </w:r>
    </w:p>
    <w:p>
      <w:pPr>
        <w:jc w:val="both"/>
      </w:pPr>
      <w:r>
        <w:rPr>
          <w:sz w:val="16"/>
        </w:rPr>
        <w:t xml:space="preserve">Fig. 2. </w:t>
      </w:r>
      <w:r>
        <w:rPr>
          <w:sz w:val="16"/>
        </w:rPr>
        <w:t>Relative difference between the 10-seed ensemble and the published benchmark for each endpoint and metric, oriented so that positive values favor the proposed model. Dots: ensemble; bars: bootstrap 95% CI of the ensemble metric expressed relative to the published value. The vertical line marks parity with the benchmark.</w:t>
      </w:r>
    </w:p>
    <w:p>
      <w:pPr>
        <w:pStyle w:val="Heading2"/>
      </w:pPr>
      <w:r>
        <w:t>C. Paired Comparison on the Benchmark's Published Predictions</w:t>
      </w:r>
    </w:p>
    <w:p>
      <w:pPr>
        <w:jc w:val="both"/>
      </w:pPr>
      <w:r>
        <w:rPr>
          <w:b w:val="0"/>
          <w:i w:val="0"/>
        </w:rPr>
        <w:t>The benchmark publishes per-compound predictions for all five endpoints on a 106-compound subset of the test data. Every one of these compounds lies in the official test split of every endpoint, so neither model was trained on them, and both were evaluated on identical compounds. This permits a paired comparison (Table IV, Fig. 3): the same compound-level bootstrap as above, resampling the same compounds for both models, which removes the compound-to-compound variation that dominates the marginal CIs of Table III. This subset is the only part of the test data for which the benchmark's own predictions are available.</w:t>
      </w:r>
    </w:p>
    <w:p>
      <w:pPr>
        <w:jc w:val="both"/>
      </w:pPr>
      <w:r>
        <w:rPr>
          <w:b w:val="0"/>
          <w:i w:val="0"/>
        </w:rPr>
        <w:t>Of the 23 metric–endpoint pairs, 7 are resolved, and all 7 favour the proposed models; none favours the benchmark. Both pKa endpoints improve on R², MAE and RMSE with paired CIs excluding zero: on pKa (acidic), MAE falls from 0.514 to 0.354 (difference -0.160, 95% CI [-0.285, -0.039]), and on pKa (basic) from 0.634 to 0.314 (CI [-0.463, -0.194]), a reduction of 51%. The W1 improvement is also resolved for pKa (basic) (0.943 vs. 0.849).</w:t>
      </w:r>
    </w:p>
    <w:p>
      <w:pPr>
        <w:jc w:val="both"/>
      </w:pPr>
      <w:r>
        <w:rPr>
          <w:b w:val="0"/>
          <w:i w:val="0"/>
        </w:rPr>
        <w:t>For CL, VDss and Fu no difference is resolved on this subset. The proposed models hold the better point estimate on every VDss and Fu metric (VDss GMFE 1.759 vs. 1.889; Fu GMFE 1.937 vs. 2.014) and the two models are indistinguishable on CL (GMFE 1.953 vs. 1.969). With 106 compounds this subset is smaller than the full test splits of Tables I and II, so it resolves only the larger differences; the absence of a resolved difference is not evidence of equivalence.</w:t>
      </w:r>
    </w:p>
    <w:p>
      <w:pPr>
        <w:keepNext/>
        <w:jc w:val="center"/>
      </w:pPr>
      <w:r>
        <w:rPr>
          <w:smallCaps/>
          <w:sz w:val="16"/>
        </w:rPr>
        <w:t>Table IV</w:t>
        <w:br/>
      </w:r>
      <w:r>
        <w:rPr>
          <w:sz w:val="16"/>
        </w:rPr>
        <w:t>Paired comparison with the benchmark's published per-compound predictions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1702"/>
            <w:tcBorders>
              <w:top w:val="single" w:sz="6" w:space="0" w:color="000000"/>
              <w:bottom w:val="single" w:sz="6" w:space="0" w:color="000000"/>
            </w:tcBorders>
          </w:tcPr>
          <w:p>
            <w:pPr>
              <w:spacing w:after="0" w:line="240" w:lineRule="auto"/>
              <w:jc w:val="left"/>
            </w:pPr>
            <w:r/>
            <w:r>
              <w:rPr>
                <w:b/>
                <w:sz w:val="15"/>
              </w:rPr>
              <w:t>Endpoint</w:t>
            </w:r>
          </w:p>
        </w:tc>
        <w:tc>
          <w:tcPr>
            <w:tcW w:type="dxa" w:w="1021"/>
            <w:tcBorders>
              <w:top w:val="single" w:sz="6" w:space="0" w:color="000000"/>
              <w:bottom w:val="single" w:sz="6" w:space="0" w:color="000000"/>
            </w:tcBorders>
          </w:tcPr>
          <w:p>
            <w:pPr>
              <w:spacing w:after="0" w:line="240" w:lineRule="auto"/>
              <w:jc w:val="center"/>
            </w:pPr>
            <w:r/>
            <w:r>
              <w:rPr>
                <w:b/>
                <w:sz w:val="15"/>
              </w:rPr>
              <w:t>Metric</w:t>
            </w:r>
          </w:p>
        </w:tc>
        <w:tc>
          <w:tcPr>
            <w:tcW w:type="dxa" w:w="1447"/>
            <w:tcBorders>
              <w:top w:val="single" w:sz="6" w:space="0" w:color="000000"/>
              <w:bottom w:val="single" w:sz="6" w:space="0" w:color="000000"/>
            </w:tcBorders>
          </w:tcPr>
          <w:p>
            <w:pPr>
              <w:spacing w:after="0" w:line="240" w:lineRule="auto"/>
              <w:jc w:val="center"/>
            </w:pPr>
            <w:r/>
            <w:r>
              <w:rPr>
                <w:b/>
                <w:sz w:val="15"/>
              </w:rPr>
              <w:t>Benchmark</w:t>
            </w:r>
          </w:p>
        </w:tc>
        <w:tc>
          <w:tcPr>
            <w:tcW w:type="dxa" w:w="1447"/>
            <w:tcBorders>
              <w:top w:val="single" w:sz="6" w:space="0" w:color="000000"/>
              <w:bottom w:val="single" w:sz="6" w:space="0" w:color="000000"/>
            </w:tcBorders>
          </w:tcPr>
          <w:p>
            <w:pPr>
              <w:spacing w:after="0" w:line="240" w:lineRule="auto"/>
              <w:jc w:val="center"/>
            </w:pPr>
            <w:r/>
            <w:r>
              <w:rPr>
                <w:b/>
                <w:sz w:val="15"/>
              </w:rPr>
              <w:t>This work</w:t>
            </w:r>
          </w:p>
        </w:tc>
        <w:tc>
          <w:tcPr>
            <w:tcW w:type="dxa" w:w="1532"/>
            <w:tcBorders>
              <w:top w:val="single" w:sz="6" w:space="0" w:color="000000"/>
              <w:bottom w:val="single" w:sz="6" w:space="0" w:color="000000"/>
            </w:tcBorders>
          </w:tcPr>
          <w:p>
            <w:pPr>
              <w:spacing w:after="0" w:line="240" w:lineRule="auto"/>
              <w:jc w:val="center"/>
            </w:pPr>
            <w:r/>
            <w:r>
              <w:rPr>
                <w:b/>
                <w:sz w:val="15"/>
              </w:rPr>
              <w:t>Difference</w:t>
            </w:r>
          </w:p>
        </w:tc>
        <w:tc>
          <w:tcPr>
            <w:tcW w:type="dxa" w:w="2212"/>
            <w:tcBorders>
              <w:top w:val="single" w:sz="6" w:space="0" w:color="000000"/>
              <w:bottom w:val="single" w:sz="6" w:space="0" w:color="000000"/>
            </w:tcBorders>
          </w:tcPr>
          <w:p>
            <w:pPr>
              <w:spacing w:after="0" w:line="240" w:lineRule="auto"/>
              <w:jc w:val="center"/>
            </w:pPr>
            <w:r/>
            <w:r>
              <w:rPr>
                <w:b/>
                <w:sz w:val="15"/>
              </w:rPr>
              <w:t>95% CI of difference</w:t>
            </w:r>
          </w:p>
        </w:tc>
      </w:tr>
      <w:tr>
        <w:tc>
          <w:tcPr>
            <w:tcW w:type="dxa" w:w="1702"/>
          </w:tcPr>
          <w:p>
            <w:pPr>
              <w:spacing w:after="0" w:line="240" w:lineRule="auto"/>
              <w:jc w:val="left"/>
            </w:pPr>
            <w:r/>
            <w:r>
              <w:rPr>
                <w:sz w:val="15"/>
              </w:rPr>
              <w:t>pKa (acidic)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0.963</w:t>
            </w:r>
          </w:p>
        </w:tc>
        <w:tc>
          <w:tcPr>
            <w:tcW w:type="dxa" w:w="1447"/>
          </w:tcPr>
          <w:p>
            <w:pPr>
              <w:spacing w:after="0" w:line="240" w:lineRule="auto"/>
              <w:jc w:val="center"/>
            </w:pPr>
            <w:r/>
            <w:r>
              <w:rPr>
                <w:b/>
                <w:sz w:val="15"/>
              </w:rPr>
              <w:t>0.982</w:t>
            </w:r>
          </w:p>
        </w:tc>
        <w:tc>
          <w:tcPr>
            <w:tcW w:type="dxa" w:w="1532"/>
          </w:tcPr>
          <w:p>
            <w:pPr>
              <w:spacing w:after="0" w:line="240" w:lineRule="auto"/>
              <w:jc w:val="center"/>
            </w:pPr>
            <w:r/>
            <w:r>
              <w:rPr>
                <w:sz w:val="15"/>
              </w:rPr>
              <w:t>+0.019†</w:t>
            </w:r>
          </w:p>
        </w:tc>
        <w:tc>
          <w:tcPr>
            <w:tcW w:type="dxa" w:w="2212"/>
          </w:tcPr>
          <w:p>
            <w:pPr>
              <w:spacing w:after="0" w:line="240" w:lineRule="auto"/>
              <w:jc w:val="center"/>
            </w:pPr>
            <w:r/>
            <w:r>
              <w:rPr>
                <w:sz w:val="15"/>
              </w:rPr>
              <w:t>[+0.001, +0.039]</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0.514</w:t>
            </w:r>
          </w:p>
        </w:tc>
        <w:tc>
          <w:tcPr>
            <w:tcW w:type="dxa" w:w="1447"/>
          </w:tcPr>
          <w:p>
            <w:pPr>
              <w:spacing w:after="0" w:line="240" w:lineRule="auto"/>
              <w:jc w:val="center"/>
            </w:pPr>
            <w:r/>
            <w:r>
              <w:rPr>
                <w:b/>
                <w:sz w:val="15"/>
              </w:rPr>
              <w:t>0.354</w:t>
            </w:r>
          </w:p>
        </w:tc>
        <w:tc>
          <w:tcPr>
            <w:tcW w:type="dxa" w:w="1532"/>
          </w:tcPr>
          <w:p>
            <w:pPr>
              <w:spacing w:after="0" w:line="240" w:lineRule="auto"/>
              <w:jc w:val="center"/>
            </w:pPr>
            <w:r/>
            <w:r>
              <w:rPr>
                <w:sz w:val="15"/>
              </w:rPr>
              <w:t>−0.160†</w:t>
            </w:r>
          </w:p>
        </w:tc>
        <w:tc>
          <w:tcPr>
            <w:tcW w:type="dxa" w:w="2212"/>
          </w:tcPr>
          <w:p>
            <w:pPr>
              <w:spacing w:after="0" w:line="240" w:lineRule="auto"/>
              <w:jc w:val="center"/>
            </w:pPr>
            <w:r/>
            <w:r>
              <w:rPr>
                <w:sz w:val="15"/>
              </w:rPr>
              <w:t>[−0.285, −0.039]</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0.798</w:t>
            </w:r>
          </w:p>
        </w:tc>
        <w:tc>
          <w:tcPr>
            <w:tcW w:type="dxa" w:w="1447"/>
          </w:tcPr>
          <w:p>
            <w:pPr>
              <w:spacing w:after="0" w:line="240" w:lineRule="auto"/>
              <w:jc w:val="center"/>
            </w:pPr>
            <w:r/>
            <w:r>
              <w:rPr>
                <w:b/>
                <w:sz w:val="15"/>
              </w:rPr>
              <w:t>0.562</w:t>
            </w:r>
          </w:p>
        </w:tc>
        <w:tc>
          <w:tcPr>
            <w:tcW w:type="dxa" w:w="1532"/>
          </w:tcPr>
          <w:p>
            <w:pPr>
              <w:spacing w:after="0" w:line="240" w:lineRule="auto"/>
              <w:jc w:val="center"/>
            </w:pPr>
            <w:r/>
            <w:r>
              <w:rPr>
                <w:sz w:val="15"/>
              </w:rPr>
              <w:t>−0.236†</w:t>
            </w:r>
          </w:p>
        </w:tc>
        <w:tc>
          <w:tcPr>
            <w:tcW w:type="dxa" w:w="2212"/>
          </w:tcPr>
          <w:p>
            <w:pPr>
              <w:spacing w:after="0" w:line="240" w:lineRule="auto"/>
              <w:jc w:val="center"/>
            </w:pPr>
            <w:r/>
            <w:r>
              <w:rPr>
                <w:sz w:val="15"/>
              </w:rPr>
              <w:t>[−0.454, −0.008]</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W1</w:t>
            </w:r>
          </w:p>
        </w:tc>
        <w:tc>
          <w:tcPr>
            <w:tcW w:type="dxa" w:w="1447"/>
          </w:tcPr>
          <w:p>
            <w:pPr>
              <w:spacing w:after="0" w:line="240" w:lineRule="auto"/>
              <w:jc w:val="center"/>
            </w:pPr>
            <w:r/>
            <w:r>
              <w:rPr>
                <w:sz w:val="15"/>
              </w:rPr>
              <w:t>0.858</w:t>
            </w:r>
          </w:p>
        </w:tc>
        <w:tc>
          <w:tcPr>
            <w:tcW w:type="dxa" w:w="1447"/>
          </w:tcPr>
          <w:p>
            <w:pPr>
              <w:spacing w:after="0" w:line="240" w:lineRule="auto"/>
              <w:jc w:val="center"/>
            </w:pPr>
            <w:r/>
            <w:r>
              <w:rPr>
                <w:b/>
                <w:sz w:val="15"/>
              </w:rPr>
              <w:t>0.934</w:t>
            </w:r>
          </w:p>
        </w:tc>
        <w:tc>
          <w:tcPr>
            <w:tcW w:type="dxa" w:w="1532"/>
          </w:tcPr>
          <w:p>
            <w:pPr>
              <w:spacing w:after="0" w:line="240" w:lineRule="auto"/>
              <w:jc w:val="center"/>
            </w:pPr>
            <w:r/>
            <w:r>
              <w:rPr>
                <w:sz w:val="15"/>
              </w:rPr>
              <w:t>+0.075</w:t>
            </w:r>
          </w:p>
        </w:tc>
        <w:tc>
          <w:tcPr>
            <w:tcW w:type="dxa" w:w="2212"/>
          </w:tcPr>
          <w:p>
            <w:pPr>
              <w:spacing w:after="0" w:line="240" w:lineRule="auto"/>
              <w:jc w:val="center"/>
            </w:pPr>
            <w:r/>
            <w:r>
              <w:rPr>
                <w:sz w:val="15"/>
              </w:rPr>
              <w:t>[+0.000, +0.151]</w:t>
            </w:r>
          </w:p>
        </w:tc>
      </w:tr>
      <w:tr>
        <w:tc>
          <w:tcPr>
            <w:tcW w:type="dxa" w:w="1702"/>
          </w:tcPr>
          <w:p>
            <w:pPr>
              <w:spacing w:after="0" w:line="240" w:lineRule="auto"/>
              <w:jc w:val="left"/>
            </w:pPr>
            <w:r/>
            <w:r>
              <w:rPr>
                <w:sz w:val="15"/>
              </w:rPr>
              <w:t>pKa (basic)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0.902</w:t>
            </w:r>
          </w:p>
        </w:tc>
        <w:tc>
          <w:tcPr>
            <w:tcW w:type="dxa" w:w="1447"/>
          </w:tcPr>
          <w:p>
            <w:pPr>
              <w:spacing w:after="0" w:line="240" w:lineRule="auto"/>
              <w:jc w:val="center"/>
            </w:pPr>
            <w:r/>
            <w:r>
              <w:rPr>
                <w:b/>
                <w:sz w:val="15"/>
              </w:rPr>
              <w:t>0.977</w:t>
            </w:r>
          </w:p>
        </w:tc>
        <w:tc>
          <w:tcPr>
            <w:tcW w:type="dxa" w:w="1532"/>
          </w:tcPr>
          <w:p>
            <w:pPr>
              <w:spacing w:after="0" w:line="240" w:lineRule="auto"/>
              <w:jc w:val="center"/>
            </w:pPr>
            <w:r/>
            <w:r>
              <w:rPr>
                <w:sz w:val="15"/>
              </w:rPr>
              <w:t>+0.076†</w:t>
            </w:r>
          </w:p>
        </w:tc>
        <w:tc>
          <w:tcPr>
            <w:tcW w:type="dxa" w:w="2212"/>
          </w:tcPr>
          <w:p>
            <w:pPr>
              <w:spacing w:after="0" w:line="240" w:lineRule="auto"/>
              <w:jc w:val="center"/>
            </w:pPr>
            <w:r/>
            <w:r>
              <w:rPr>
                <w:sz w:val="15"/>
              </w:rPr>
              <w:t>[+0.033, +0.133]</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0.634</w:t>
            </w:r>
          </w:p>
        </w:tc>
        <w:tc>
          <w:tcPr>
            <w:tcW w:type="dxa" w:w="1447"/>
          </w:tcPr>
          <w:p>
            <w:pPr>
              <w:spacing w:after="0" w:line="240" w:lineRule="auto"/>
              <w:jc w:val="center"/>
            </w:pPr>
            <w:r/>
            <w:r>
              <w:rPr>
                <w:b/>
                <w:sz w:val="15"/>
              </w:rPr>
              <w:t>0.314</w:t>
            </w:r>
          </w:p>
        </w:tc>
        <w:tc>
          <w:tcPr>
            <w:tcW w:type="dxa" w:w="1532"/>
          </w:tcPr>
          <w:p>
            <w:pPr>
              <w:spacing w:after="0" w:line="240" w:lineRule="auto"/>
              <w:jc w:val="center"/>
            </w:pPr>
            <w:r/>
            <w:r>
              <w:rPr>
                <w:sz w:val="15"/>
              </w:rPr>
              <w:t>−0.320†</w:t>
            </w:r>
          </w:p>
        </w:tc>
        <w:tc>
          <w:tcPr>
            <w:tcW w:type="dxa" w:w="2212"/>
          </w:tcPr>
          <w:p>
            <w:pPr>
              <w:spacing w:after="0" w:line="240" w:lineRule="auto"/>
              <w:jc w:val="center"/>
            </w:pPr>
            <w:r/>
            <w:r>
              <w:rPr>
                <w:sz w:val="15"/>
              </w:rPr>
              <w:t>[−0.463, −0.194]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0.976</w:t>
            </w:r>
          </w:p>
        </w:tc>
        <w:tc>
          <w:tcPr>
            <w:tcW w:type="dxa" w:w="1447"/>
          </w:tcPr>
          <w:p>
            <w:pPr>
              <w:spacing w:after="0" w:line="240" w:lineRule="auto"/>
              <w:jc w:val="center"/>
            </w:pPr>
            <w:r/>
            <w:r>
              <w:rPr>
                <w:b/>
                <w:sz w:val="15"/>
              </w:rPr>
              <w:t>0.468</w:t>
            </w:r>
          </w:p>
        </w:tc>
        <w:tc>
          <w:tcPr>
            <w:tcW w:type="dxa" w:w="1532"/>
          </w:tcPr>
          <w:p>
            <w:pPr>
              <w:spacing w:after="0" w:line="240" w:lineRule="auto"/>
              <w:jc w:val="center"/>
            </w:pPr>
            <w:r/>
            <w:r>
              <w:rPr>
                <w:sz w:val="15"/>
              </w:rPr>
              <w:t>−0.508†</w:t>
            </w:r>
          </w:p>
        </w:tc>
        <w:tc>
          <w:tcPr>
            <w:tcW w:type="dxa" w:w="2212"/>
          </w:tcPr>
          <w:p>
            <w:pPr>
              <w:spacing w:after="0" w:line="240" w:lineRule="auto"/>
              <w:jc w:val="center"/>
            </w:pPr>
            <w:r/>
            <w:r>
              <w:rPr>
                <w:sz w:val="15"/>
              </w:rPr>
              <w:t>[−0.752, −0.264]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W1</w:t>
            </w:r>
          </w:p>
        </w:tc>
        <w:tc>
          <w:tcPr>
            <w:tcW w:type="dxa" w:w="1447"/>
          </w:tcPr>
          <w:p>
            <w:pPr>
              <w:spacing w:after="0" w:line="240" w:lineRule="auto"/>
              <w:jc w:val="center"/>
            </w:pPr>
            <w:r/>
            <w:r>
              <w:rPr>
                <w:sz w:val="15"/>
              </w:rPr>
              <w:t>0.849</w:t>
            </w:r>
          </w:p>
        </w:tc>
        <w:tc>
          <w:tcPr>
            <w:tcW w:type="dxa" w:w="1447"/>
          </w:tcPr>
          <w:p>
            <w:pPr>
              <w:spacing w:after="0" w:line="240" w:lineRule="auto"/>
              <w:jc w:val="center"/>
            </w:pPr>
            <w:r/>
            <w:r>
              <w:rPr>
                <w:b/>
                <w:sz w:val="15"/>
              </w:rPr>
              <w:t>0.943</w:t>
            </w:r>
          </w:p>
        </w:tc>
        <w:tc>
          <w:tcPr>
            <w:tcW w:type="dxa" w:w="1532"/>
          </w:tcPr>
          <w:p>
            <w:pPr>
              <w:spacing w:after="0" w:line="240" w:lineRule="auto"/>
              <w:jc w:val="center"/>
            </w:pPr>
            <w:r/>
            <w:r>
              <w:rPr>
                <w:sz w:val="15"/>
              </w:rPr>
              <w:t>+0.094†</w:t>
            </w:r>
          </w:p>
        </w:tc>
        <w:tc>
          <w:tcPr>
            <w:tcW w:type="dxa" w:w="2212"/>
          </w:tcPr>
          <w:p>
            <w:pPr>
              <w:spacing w:after="0" w:line="240" w:lineRule="auto"/>
              <w:jc w:val="center"/>
            </w:pPr>
            <w:r/>
            <w:r>
              <w:rPr>
                <w:sz w:val="15"/>
              </w:rPr>
              <w:t>[+0.028, +0.160]</w:t>
            </w:r>
          </w:p>
        </w:tc>
      </w:tr>
      <w:tr>
        <w:tc>
          <w:tcPr>
            <w:tcW w:type="dxa" w:w="1702"/>
          </w:tcPr>
          <w:p>
            <w:pPr>
              <w:spacing w:after="0" w:line="240" w:lineRule="auto"/>
              <w:jc w:val="left"/>
            </w:pPr>
            <w:r/>
            <w:r>
              <w:rPr>
                <w:sz w:val="15"/>
              </w:rPr>
              <w:t>CL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b/>
                <w:sz w:val="15"/>
              </w:rPr>
              <w:t>0.433</w:t>
            </w:r>
          </w:p>
        </w:tc>
        <w:tc>
          <w:tcPr>
            <w:tcW w:type="dxa" w:w="1447"/>
          </w:tcPr>
          <w:p>
            <w:pPr>
              <w:spacing w:after="0" w:line="240" w:lineRule="auto"/>
              <w:jc w:val="center"/>
            </w:pPr>
            <w:r/>
            <w:r>
              <w:rPr>
                <w:sz w:val="15"/>
              </w:rPr>
              <w:t>0.411</w:t>
            </w:r>
          </w:p>
        </w:tc>
        <w:tc>
          <w:tcPr>
            <w:tcW w:type="dxa" w:w="1532"/>
          </w:tcPr>
          <w:p>
            <w:pPr>
              <w:spacing w:after="0" w:line="240" w:lineRule="auto"/>
              <w:jc w:val="center"/>
            </w:pPr>
            <w:r/>
            <w:r>
              <w:rPr>
                <w:sz w:val="15"/>
              </w:rPr>
              <w:t>−0.022</w:t>
            </w:r>
          </w:p>
        </w:tc>
        <w:tc>
          <w:tcPr>
            <w:tcW w:type="dxa" w:w="2212"/>
          </w:tcPr>
          <w:p>
            <w:pPr>
              <w:spacing w:after="0" w:line="240" w:lineRule="auto"/>
              <w:jc w:val="center"/>
            </w:pPr>
            <w:r/>
            <w:r>
              <w:rPr>
                <w:sz w:val="15"/>
              </w:rPr>
              <w:t>[−0.109, +0.058]</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0.294</w:t>
            </w:r>
          </w:p>
        </w:tc>
        <w:tc>
          <w:tcPr>
            <w:tcW w:type="dxa" w:w="1447"/>
          </w:tcPr>
          <w:p>
            <w:pPr>
              <w:spacing w:after="0" w:line="240" w:lineRule="auto"/>
              <w:jc w:val="center"/>
            </w:pPr>
            <w:r/>
            <w:r>
              <w:rPr>
                <w:b/>
                <w:sz w:val="15"/>
              </w:rPr>
              <w:t>0.291</w:t>
            </w:r>
          </w:p>
        </w:tc>
        <w:tc>
          <w:tcPr>
            <w:tcW w:type="dxa" w:w="1532"/>
          </w:tcPr>
          <w:p>
            <w:pPr>
              <w:spacing w:after="0" w:line="240" w:lineRule="auto"/>
              <w:jc w:val="center"/>
            </w:pPr>
            <w:r/>
            <w:r>
              <w:rPr>
                <w:sz w:val="15"/>
              </w:rPr>
              <w:t>−0.004</w:t>
            </w:r>
          </w:p>
        </w:tc>
        <w:tc>
          <w:tcPr>
            <w:tcW w:type="dxa" w:w="2212"/>
          </w:tcPr>
          <w:p>
            <w:pPr>
              <w:spacing w:after="0" w:line="240" w:lineRule="auto"/>
              <w:jc w:val="center"/>
            </w:pPr>
            <w:r/>
            <w:r>
              <w:rPr>
                <w:sz w:val="15"/>
              </w:rPr>
              <w:t>[−0.027, +0.020]</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b/>
                <w:sz w:val="15"/>
              </w:rPr>
              <w:t>0.402</w:t>
            </w:r>
          </w:p>
        </w:tc>
        <w:tc>
          <w:tcPr>
            <w:tcW w:type="dxa" w:w="1447"/>
          </w:tcPr>
          <w:p>
            <w:pPr>
              <w:spacing w:after="0" w:line="240" w:lineRule="auto"/>
              <w:jc w:val="center"/>
            </w:pPr>
            <w:r/>
            <w:r>
              <w:rPr>
                <w:sz w:val="15"/>
              </w:rPr>
              <w:t>0.410</w:t>
            </w:r>
          </w:p>
        </w:tc>
        <w:tc>
          <w:tcPr>
            <w:tcW w:type="dxa" w:w="1532"/>
          </w:tcPr>
          <w:p>
            <w:pPr>
              <w:spacing w:after="0" w:line="240" w:lineRule="auto"/>
              <w:jc w:val="center"/>
            </w:pPr>
            <w:r/>
            <w:r>
              <w:rPr>
                <w:sz w:val="15"/>
              </w:rPr>
              <w:t>+0.008</w:t>
            </w:r>
          </w:p>
        </w:tc>
        <w:tc>
          <w:tcPr>
            <w:tcW w:type="dxa" w:w="2212"/>
          </w:tcPr>
          <w:p>
            <w:pPr>
              <w:spacing w:after="0" w:line="240" w:lineRule="auto"/>
              <w:jc w:val="center"/>
            </w:pPr>
            <w:r/>
            <w:r>
              <w:rPr>
                <w:sz w:val="15"/>
              </w:rPr>
              <w:t>[−0.019, +0.037]</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1.969</w:t>
            </w:r>
          </w:p>
        </w:tc>
        <w:tc>
          <w:tcPr>
            <w:tcW w:type="dxa" w:w="1447"/>
          </w:tcPr>
          <w:p>
            <w:pPr>
              <w:spacing w:after="0" w:line="240" w:lineRule="auto"/>
              <w:jc w:val="center"/>
            </w:pPr>
            <w:r/>
            <w:r>
              <w:rPr>
                <w:b/>
                <w:sz w:val="15"/>
              </w:rPr>
              <w:t>1.953</w:t>
            </w:r>
          </w:p>
        </w:tc>
        <w:tc>
          <w:tcPr>
            <w:tcW w:type="dxa" w:w="1532"/>
          </w:tcPr>
          <w:p>
            <w:pPr>
              <w:spacing w:after="0" w:line="240" w:lineRule="auto"/>
              <w:jc w:val="center"/>
            </w:pPr>
            <w:r/>
            <w:r>
              <w:rPr>
                <w:sz w:val="15"/>
              </w:rPr>
              <w:t>−0.016</w:t>
            </w:r>
          </w:p>
        </w:tc>
        <w:tc>
          <w:tcPr>
            <w:tcW w:type="dxa" w:w="2212"/>
          </w:tcPr>
          <w:p>
            <w:pPr>
              <w:spacing w:after="0" w:line="240" w:lineRule="auto"/>
              <w:jc w:val="center"/>
            </w:pPr>
            <w:r/>
            <w:r>
              <w:rPr>
                <w:sz w:val="15"/>
              </w:rPr>
              <w:t>[−0.121, +0.093]</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W2F</w:t>
            </w:r>
          </w:p>
        </w:tc>
        <w:tc>
          <w:tcPr>
            <w:tcW w:type="dxa" w:w="1447"/>
          </w:tcPr>
          <w:p>
            <w:pPr>
              <w:spacing w:after="0" w:line="240" w:lineRule="auto"/>
              <w:jc w:val="center"/>
            </w:pPr>
            <w:r/>
            <w:r>
              <w:rPr>
                <w:b/>
                <w:sz w:val="15"/>
              </w:rPr>
              <w:t>0.642</w:t>
            </w:r>
          </w:p>
        </w:tc>
        <w:tc>
          <w:tcPr>
            <w:tcW w:type="dxa" w:w="1447"/>
          </w:tcPr>
          <w:p>
            <w:pPr>
              <w:spacing w:after="0" w:line="240" w:lineRule="auto"/>
              <w:jc w:val="center"/>
            </w:pPr>
            <w:r/>
            <w:r>
              <w:rPr>
                <w:sz w:val="15"/>
              </w:rPr>
              <w:t>0.613</w:t>
            </w:r>
          </w:p>
        </w:tc>
        <w:tc>
          <w:tcPr>
            <w:tcW w:type="dxa" w:w="1532"/>
          </w:tcPr>
          <w:p>
            <w:pPr>
              <w:spacing w:after="0" w:line="240" w:lineRule="auto"/>
              <w:jc w:val="center"/>
            </w:pPr>
            <w:r/>
            <w:r>
              <w:rPr>
                <w:sz w:val="15"/>
              </w:rPr>
              <w:t>−0.028</w:t>
            </w:r>
          </w:p>
        </w:tc>
        <w:tc>
          <w:tcPr>
            <w:tcW w:type="dxa" w:w="2212"/>
          </w:tcPr>
          <w:p>
            <w:pPr>
              <w:spacing w:after="0" w:line="240" w:lineRule="auto"/>
              <w:jc w:val="center"/>
            </w:pPr>
            <w:r/>
            <w:r>
              <w:rPr>
                <w:sz w:val="15"/>
              </w:rPr>
              <w:t>[−0.104, +0.047]</w:t>
            </w:r>
          </w:p>
        </w:tc>
      </w:tr>
      <w:tr>
        <w:tc>
          <w:tcPr>
            <w:tcW w:type="dxa" w:w="1702"/>
          </w:tcPr>
          <w:p>
            <w:pPr>
              <w:spacing w:after="0" w:line="240" w:lineRule="auto"/>
              <w:jc w:val="left"/>
            </w:pPr>
            <w:r/>
            <w:r>
              <w:rPr>
                <w:sz w:val="15"/>
              </w:rPr>
              <w:t>VDss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0.584</w:t>
            </w:r>
          </w:p>
        </w:tc>
        <w:tc>
          <w:tcPr>
            <w:tcW w:type="dxa" w:w="1447"/>
          </w:tcPr>
          <w:p>
            <w:pPr>
              <w:spacing w:after="0" w:line="240" w:lineRule="auto"/>
              <w:jc w:val="center"/>
            </w:pPr>
            <w:r/>
            <w:r>
              <w:rPr>
                <w:b/>
                <w:sz w:val="15"/>
              </w:rPr>
              <w:t>0.641</w:t>
            </w:r>
          </w:p>
        </w:tc>
        <w:tc>
          <w:tcPr>
            <w:tcW w:type="dxa" w:w="1532"/>
          </w:tcPr>
          <w:p>
            <w:pPr>
              <w:spacing w:after="0" w:line="240" w:lineRule="auto"/>
              <w:jc w:val="center"/>
            </w:pPr>
            <w:r/>
            <w:r>
              <w:rPr>
                <w:sz w:val="15"/>
              </w:rPr>
              <w:t>+0.056</w:t>
            </w:r>
          </w:p>
        </w:tc>
        <w:tc>
          <w:tcPr>
            <w:tcW w:type="dxa" w:w="2212"/>
          </w:tcPr>
          <w:p>
            <w:pPr>
              <w:spacing w:after="0" w:line="240" w:lineRule="auto"/>
              <w:jc w:val="center"/>
            </w:pPr>
            <w:r/>
            <w:r>
              <w:rPr>
                <w:sz w:val="15"/>
              </w:rPr>
              <w:t>[−0.030, +0.140]</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0.276</w:t>
            </w:r>
          </w:p>
        </w:tc>
        <w:tc>
          <w:tcPr>
            <w:tcW w:type="dxa" w:w="1447"/>
          </w:tcPr>
          <w:p>
            <w:pPr>
              <w:spacing w:after="0" w:line="240" w:lineRule="auto"/>
              <w:jc w:val="center"/>
            </w:pPr>
            <w:r/>
            <w:r>
              <w:rPr>
                <w:b/>
                <w:sz w:val="15"/>
              </w:rPr>
              <w:t>0.245</w:t>
            </w:r>
          </w:p>
        </w:tc>
        <w:tc>
          <w:tcPr>
            <w:tcW w:type="dxa" w:w="1532"/>
          </w:tcPr>
          <w:p>
            <w:pPr>
              <w:spacing w:after="0" w:line="240" w:lineRule="auto"/>
              <w:jc w:val="center"/>
            </w:pPr>
            <w:r/>
            <w:r>
              <w:rPr>
                <w:sz w:val="15"/>
              </w:rPr>
              <w:t>−0.031</w:t>
            </w:r>
          </w:p>
        </w:tc>
        <w:tc>
          <w:tcPr>
            <w:tcW w:type="dxa" w:w="2212"/>
          </w:tcPr>
          <w:p>
            <w:pPr>
              <w:spacing w:after="0" w:line="240" w:lineRule="auto"/>
              <w:jc w:val="center"/>
            </w:pPr>
            <w:r/>
            <w:r>
              <w:rPr>
                <w:sz w:val="15"/>
              </w:rPr>
              <w:t>[−0.062, +0.001]</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0.353</w:t>
            </w:r>
          </w:p>
        </w:tc>
        <w:tc>
          <w:tcPr>
            <w:tcW w:type="dxa" w:w="1447"/>
          </w:tcPr>
          <w:p>
            <w:pPr>
              <w:spacing w:after="0" w:line="240" w:lineRule="auto"/>
              <w:jc w:val="center"/>
            </w:pPr>
            <w:r/>
            <w:r>
              <w:rPr>
                <w:b/>
                <w:sz w:val="15"/>
              </w:rPr>
              <w:t>0.328</w:t>
            </w:r>
          </w:p>
        </w:tc>
        <w:tc>
          <w:tcPr>
            <w:tcW w:type="dxa" w:w="1532"/>
          </w:tcPr>
          <w:p>
            <w:pPr>
              <w:spacing w:after="0" w:line="240" w:lineRule="auto"/>
              <w:jc w:val="center"/>
            </w:pPr>
            <w:r/>
            <w:r>
              <w:rPr>
                <w:sz w:val="15"/>
              </w:rPr>
              <w:t>−0.025</w:t>
            </w:r>
          </w:p>
        </w:tc>
        <w:tc>
          <w:tcPr>
            <w:tcW w:type="dxa" w:w="2212"/>
          </w:tcPr>
          <w:p>
            <w:pPr>
              <w:spacing w:after="0" w:line="240" w:lineRule="auto"/>
              <w:jc w:val="center"/>
            </w:pPr>
            <w:r/>
            <w:r>
              <w:rPr>
                <w:sz w:val="15"/>
              </w:rPr>
              <w:t>[−0.062, +0.012]</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1.889</w:t>
            </w:r>
          </w:p>
        </w:tc>
        <w:tc>
          <w:tcPr>
            <w:tcW w:type="dxa" w:w="1447"/>
          </w:tcPr>
          <w:p>
            <w:pPr>
              <w:spacing w:after="0" w:line="240" w:lineRule="auto"/>
              <w:jc w:val="center"/>
            </w:pPr>
            <w:r/>
            <w:r>
              <w:rPr>
                <w:b/>
                <w:sz w:val="15"/>
              </w:rPr>
              <w:t>1.759</w:t>
            </w:r>
          </w:p>
        </w:tc>
        <w:tc>
          <w:tcPr>
            <w:tcW w:type="dxa" w:w="1532"/>
          </w:tcPr>
          <w:p>
            <w:pPr>
              <w:spacing w:after="0" w:line="240" w:lineRule="auto"/>
              <w:jc w:val="center"/>
            </w:pPr>
            <w:r/>
            <w:r>
              <w:rPr>
                <w:sz w:val="15"/>
              </w:rPr>
              <w:t>−0.130</w:t>
            </w:r>
          </w:p>
        </w:tc>
        <w:tc>
          <w:tcPr>
            <w:tcW w:type="dxa" w:w="2212"/>
          </w:tcPr>
          <w:p>
            <w:pPr>
              <w:spacing w:after="0" w:line="240" w:lineRule="auto"/>
              <w:jc w:val="center"/>
            </w:pPr>
            <w:r/>
            <w:r>
              <w:rPr>
                <w:sz w:val="15"/>
              </w:rPr>
              <w:t>[−0.263, +0.004]</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W2F</w:t>
            </w:r>
          </w:p>
        </w:tc>
        <w:tc>
          <w:tcPr>
            <w:tcW w:type="dxa" w:w="1447"/>
          </w:tcPr>
          <w:p>
            <w:pPr>
              <w:spacing w:after="0" w:line="240" w:lineRule="auto"/>
              <w:jc w:val="center"/>
            </w:pPr>
            <w:r/>
            <w:r>
              <w:rPr>
                <w:sz w:val="15"/>
              </w:rPr>
              <w:t>0.604</w:t>
            </w:r>
          </w:p>
        </w:tc>
        <w:tc>
          <w:tcPr>
            <w:tcW w:type="dxa" w:w="1447"/>
          </w:tcPr>
          <w:p>
            <w:pPr>
              <w:spacing w:after="0" w:line="240" w:lineRule="auto"/>
              <w:jc w:val="center"/>
            </w:pPr>
            <w:r/>
            <w:r>
              <w:rPr>
                <w:b/>
                <w:sz w:val="15"/>
              </w:rPr>
              <w:t>0.698</w:t>
            </w:r>
          </w:p>
        </w:tc>
        <w:tc>
          <w:tcPr>
            <w:tcW w:type="dxa" w:w="1532"/>
          </w:tcPr>
          <w:p>
            <w:pPr>
              <w:spacing w:after="0" w:line="240" w:lineRule="auto"/>
              <w:jc w:val="center"/>
            </w:pPr>
            <w:r/>
            <w:r>
              <w:rPr>
                <w:sz w:val="15"/>
              </w:rPr>
              <w:t>+0.094</w:t>
            </w:r>
          </w:p>
        </w:tc>
        <w:tc>
          <w:tcPr>
            <w:tcW w:type="dxa" w:w="2212"/>
          </w:tcPr>
          <w:p>
            <w:pPr>
              <w:spacing w:after="0" w:line="240" w:lineRule="auto"/>
              <w:jc w:val="center"/>
            </w:pPr>
            <w:r/>
            <w:r>
              <w:rPr>
                <w:sz w:val="15"/>
              </w:rPr>
              <w:t>[+0.000, +0.189]</w:t>
            </w:r>
          </w:p>
        </w:tc>
      </w:tr>
      <w:tr>
        <w:tc>
          <w:tcPr>
            <w:tcW w:type="dxa" w:w="1702"/>
          </w:tcPr>
          <w:p>
            <w:pPr>
              <w:spacing w:after="0" w:line="240" w:lineRule="auto"/>
              <w:jc w:val="left"/>
            </w:pPr>
            <w:r/>
            <w:r>
              <w:rPr>
                <w:sz w:val="15"/>
              </w:rPr>
              <w:t>Fu (n = 106)</w:t>
            </w:r>
          </w:p>
        </w:tc>
        <w:tc>
          <w:tcPr>
            <w:tcW w:type="dxa" w:w="1021"/>
          </w:tcPr>
          <w:p>
            <w:pPr>
              <w:spacing w:after="0" w:line="240" w:lineRule="auto"/>
              <w:jc w:val="center"/>
            </w:pPr>
            <w:r/>
            <w:r>
              <w:rPr>
                <w:sz w:val="15"/>
              </w:rPr>
              <w:t>R²</w:t>
            </w:r>
          </w:p>
        </w:tc>
        <w:tc>
          <w:tcPr>
            <w:tcW w:type="dxa" w:w="1447"/>
          </w:tcPr>
          <w:p>
            <w:pPr>
              <w:spacing w:after="0" w:line="240" w:lineRule="auto"/>
              <w:jc w:val="center"/>
            </w:pPr>
            <w:r/>
            <w:r>
              <w:rPr>
                <w:sz w:val="15"/>
              </w:rPr>
              <w:t>0.663</w:t>
            </w:r>
          </w:p>
        </w:tc>
        <w:tc>
          <w:tcPr>
            <w:tcW w:type="dxa" w:w="1447"/>
          </w:tcPr>
          <w:p>
            <w:pPr>
              <w:spacing w:after="0" w:line="240" w:lineRule="auto"/>
              <w:jc w:val="center"/>
            </w:pPr>
            <w:r/>
            <w:r>
              <w:rPr>
                <w:b/>
                <w:sz w:val="15"/>
              </w:rPr>
              <w:t>0.694</w:t>
            </w:r>
          </w:p>
        </w:tc>
        <w:tc>
          <w:tcPr>
            <w:tcW w:type="dxa" w:w="1532"/>
          </w:tcPr>
          <w:p>
            <w:pPr>
              <w:spacing w:after="0" w:line="240" w:lineRule="auto"/>
              <w:jc w:val="center"/>
            </w:pPr>
            <w:r/>
            <w:r>
              <w:rPr>
                <w:sz w:val="15"/>
              </w:rPr>
              <w:t>+0.032</w:t>
            </w:r>
          </w:p>
        </w:tc>
        <w:tc>
          <w:tcPr>
            <w:tcW w:type="dxa" w:w="2212"/>
          </w:tcPr>
          <w:p>
            <w:pPr>
              <w:spacing w:after="0" w:line="240" w:lineRule="auto"/>
              <w:jc w:val="center"/>
            </w:pPr>
            <w:r/>
            <w:r>
              <w:rPr>
                <w:sz w:val="15"/>
              </w:rPr>
              <w:t>[−0.028, +0.087]</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MAE</w:t>
            </w:r>
          </w:p>
        </w:tc>
        <w:tc>
          <w:tcPr>
            <w:tcW w:type="dxa" w:w="1447"/>
          </w:tcPr>
          <w:p>
            <w:pPr>
              <w:spacing w:after="0" w:line="240" w:lineRule="auto"/>
              <w:jc w:val="center"/>
            </w:pPr>
            <w:r/>
            <w:r>
              <w:rPr>
                <w:sz w:val="15"/>
              </w:rPr>
              <w:t>0.304</w:t>
            </w:r>
          </w:p>
        </w:tc>
        <w:tc>
          <w:tcPr>
            <w:tcW w:type="dxa" w:w="1447"/>
          </w:tcPr>
          <w:p>
            <w:pPr>
              <w:spacing w:after="0" w:line="240" w:lineRule="auto"/>
              <w:jc w:val="center"/>
            </w:pPr>
            <w:r/>
            <w:r>
              <w:rPr>
                <w:b/>
                <w:sz w:val="15"/>
              </w:rPr>
              <w:t>0.287</w:t>
            </w:r>
          </w:p>
        </w:tc>
        <w:tc>
          <w:tcPr>
            <w:tcW w:type="dxa" w:w="1532"/>
          </w:tcPr>
          <w:p>
            <w:pPr>
              <w:spacing w:after="0" w:line="240" w:lineRule="auto"/>
              <w:jc w:val="center"/>
            </w:pPr>
            <w:r/>
            <w:r>
              <w:rPr>
                <w:sz w:val="15"/>
              </w:rPr>
              <w:t>−0.017</w:t>
            </w:r>
          </w:p>
        </w:tc>
        <w:tc>
          <w:tcPr>
            <w:tcW w:type="dxa" w:w="2212"/>
          </w:tcPr>
          <w:p>
            <w:pPr>
              <w:spacing w:after="0" w:line="240" w:lineRule="auto"/>
              <w:jc w:val="center"/>
            </w:pPr>
            <w:r/>
            <w:r>
              <w:rPr>
                <w:sz w:val="15"/>
              </w:rPr>
              <w:t>[−0.049, +0.015]</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RMSE</w:t>
            </w:r>
          </w:p>
        </w:tc>
        <w:tc>
          <w:tcPr>
            <w:tcW w:type="dxa" w:w="1447"/>
          </w:tcPr>
          <w:p>
            <w:pPr>
              <w:spacing w:after="0" w:line="240" w:lineRule="auto"/>
              <w:jc w:val="center"/>
            </w:pPr>
            <w:r/>
            <w:r>
              <w:rPr>
                <w:sz w:val="15"/>
              </w:rPr>
              <w:t>0.410</w:t>
            </w:r>
          </w:p>
        </w:tc>
        <w:tc>
          <w:tcPr>
            <w:tcW w:type="dxa" w:w="1447"/>
          </w:tcPr>
          <w:p>
            <w:pPr>
              <w:spacing w:after="0" w:line="240" w:lineRule="auto"/>
              <w:jc w:val="center"/>
            </w:pPr>
            <w:r/>
            <w:r>
              <w:rPr>
                <w:b/>
                <w:sz w:val="15"/>
              </w:rPr>
              <w:t>0.390</w:t>
            </w:r>
          </w:p>
        </w:tc>
        <w:tc>
          <w:tcPr>
            <w:tcW w:type="dxa" w:w="1532"/>
          </w:tcPr>
          <w:p>
            <w:pPr>
              <w:spacing w:after="0" w:line="240" w:lineRule="auto"/>
              <w:jc w:val="center"/>
            </w:pPr>
            <w:r/>
            <w:r>
              <w:rPr>
                <w:sz w:val="15"/>
              </w:rPr>
              <w:t>−0.020</w:t>
            </w:r>
          </w:p>
        </w:tc>
        <w:tc>
          <w:tcPr>
            <w:tcW w:type="dxa" w:w="2212"/>
          </w:tcPr>
          <w:p>
            <w:pPr>
              <w:spacing w:after="0" w:line="240" w:lineRule="auto"/>
              <w:jc w:val="center"/>
            </w:pPr>
            <w:r/>
            <w:r>
              <w:rPr>
                <w:sz w:val="15"/>
              </w:rPr>
              <w:t>[−0.056, +0.015]</w:t>
            </w:r>
          </w:p>
        </w:tc>
      </w:tr>
      <w:tr>
        <w:tc>
          <w:tcPr>
            <w:tcW w:type="dxa" w:w="1702"/>
          </w:tcPr>
          <w:p>
            <w:pPr>
              <w:spacing w:after="0" w:line="240" w:lineRule="auto"/>
              <w:jc w:val="left"/>
            </w:pPr>
            <w:r/>
            <w:r>
              <w:rPr>
                <w:sz w:val="15"/>
              </w:rPr>
            </w:r>
          </w:p>
        </w:tc>
        <w:tc>
          <w:tcPr>
            <w:tcW w:type="dxa" w:w="1021"/>
          </w:tcPr>
          <w:p>
            <w:pPr>
              <w:spacing w:after="0" w:line="240" w:lineRule="auto"/>
              <w:jc w:val="center"/>
            </w:pPr>
            <w:r/>
            <w:r>
              <w:rPr>
                <w:sz w:val="15"/>
              </w:rPr>
              <w:t>GMFE</w:t>
            </w:r>
          </w:p>
        </w:tc>
        <w:tc>
          <w:tcPr>
            <w:tcW w:type="dxa" w:w="1447"/>
          </w:tcPr>
          <w:p>
            <w:pPr>
              <w:spacing w:after="0" w:line="240" w:lineRule="auto"/>
              <w:jc w:val="center"/>
            </w:pPr>
            <w:r/>
            <w:r>
              <w:rPr>
                <w:sz w:val="15"/>
              </w:rPr>
              <w:t>2.014</w:t>
            </w:r>
          </w:p>
        </w:tc>
        <w:tc>
          <w:tcPr>
            <w:tcW w:type="dxa" w:w="1447"/>
          </w:tcPr>
          <w:p>
            <w:pPr>
              <w:spacing w:after="0" w:line="240" w:lineRule="auto"/>
              <w:jc w:val="center"/>
            </w:pPr>
            <w:r/>
            <w:r>
              <w:rPr>
                <w:b/>
                <w:sz w:val="15"/>
              </w:rPr>
              <w:t>1.937</w:t>
            </w:r>
          </w:p>
        </w:tc>
        <w:tc>
          <w:tcPr>
            <w:tcW w:type="dxa" w:w="1532"/>
          </w:tcPr>
          <w:p>
            <w:pPr>
              <w:spacing w:after="0" w:line="240" w:lineRule="auto"/>
              <w:jc w:val="center"/>
            </w:pPr>
            <w:r/>
            <w:r>
              <w:rPr>
                <w:sz w:val="15"/>
              </w:rPr>
              <w:t>−0.077</w:t>
            </w:r>
          </w:p>
        </w:tc>
        <w:tc>
          <w:tcPr>
            <w:tcW w:type="dxa" w:w="2212"/>
          </w:tcPr>
          <w:p>
            <w:pPr>
              <w:spacing w:after="0" w:line="240" w:lineRule="auto"/>
              <w:jc w:val="center"/>
            </w:pPr>
            <w:r/>
            <w:r>
              <w:rPr>
                <w:sz w:val="15"/>
              </w:rPr>
              <w:t>[−0.227, +0.067]</w:t>
            </w:r>
          </w:p>
        </w:tc>
      </w:tr>
      <w:tr>
        <w:tc>
          <w:tcPr>
            <w:tcW w:type="dxa" w:w="1702"/>
            <w:tcBorders>
              <w:bottom w:val="single" w:sz="6" w:space="0" w:color="000000"/>
            </w:tcBorders>
          </w:tcPr>
          <w:p>
            <w:pPr>
              <w:spacing w:after="0" w:line="240" w:lineRule="auto"/>
              <w:jc w:val="left"/>
            </w:pPr>
            <w:r/>
            <w:r>
              <w:rPr>
                <w:sz w:val="15"/>
              </w:rPr>
            </w:r>
          </w:p>
        </w:tc>
        <w:tc>
          <w:tcPr>
            <w:tcW w:type="dxa" w:w="1021"/>
            <w:tcBorders>
              <w:bottom w:val="single" w:sz="6" w:space="0" w:color="000000"/>
            </w:tcBorders>
          </w:tcPr>
          <w:p>
            <w:pPr>
              <w:spacing w:after="0" w:line="240" w:lineRule="auto"/>
              <w:jc w:val="center"/>
            </w:pPr>
            <w:r/>
            <w:r>
              <w:rPr>
                <w:sz w:val="15"/>
              </w:rPr>
              <w:t>W2F</w:t>
            </w:r>
          </w:p>
        </w:tc>
        <w:tc>
          <w:tcPr>
            <w:tcW w:type="dxa" w:w="1447"/>
            <w:tcBorders>
              <w:bottom w:val="single" w:sz="6" w:space="0" w:color="000000"/>
            </w:tcBorders>
          </w:tcPr>
          <w:p>
            <w:pPr>
              <w:spacing w:after="0" w:line="240" w:lineRule="auto"/>
              <w:jc w:val="center"/>
            </w:pPr>
            <w:r/>
            <w:r>
              <w:rPr>
                <w:sz w:val="15"/>
              </w:rPr>
              <w:t>0.604</w:t>
            </w:r>
          </w:p>
        </w:tc>
        <w:tc>
          <w:tcPr>
            <w:tcW w:type="dxa" w:w="1447"/>
            <w:tcBorders>
              <w:bottom w:val="single" w:sz="6" w:space="0" w:color="000000"/>
            </w:tcBorders>
          </w:tcPr>
          <w:p>
            <w:pPr>
              <w:spacing w:after="0" w:line="240" w:lineRule="auto"/>
              <w:jc w:val="center"/>
            </w:pPr>
            <w:r/>
            <w:r>
              <w:rPr>
                <w:b/>
                <w:sz w:val="15"/>
              </w:rPr>
              <w:t>0.670</w:t>
            </w:r>
          </w:p>
        </w:tc>
        <w:tc>
          <w:tcPr>
            <w:tcW w:type="dxa" w:w="1532"/>
            <w:tcBorders>
              <w:bottom w:val="single" w:sz="6" w:space="0" w:color="000000"/>
            </w:tcBorders>
          </w:tcPr>
          <w:p>
            <w:pPr>
              <w:spacing w:after="0" w:line="240" w:lineRule="auto"/>
              <w:jc w:val="center"/>
            </w:pPr>
            <w:r/>
            <w:r>
              <w:rPr>
                <w:sz w:val="15"/>
              </w:rPr>
              <w:t>+0.066</w:t>
            </w:r>
          </w:p>
        </w:tc>
        <w:tc>
          <w:tcPr>
            <w:tcW w:type="dxa" w:w="2212"/>
            <w:tcBorders>
              <w:bottom w:val="single" w:sz="6" w:space="0" w:color="000000"/>
            </w:tcBorders>
          </w:tcPr>
          <w:p>
            <w:pPr>
              <w:spacing w:after="0" w:line="240" w:lineRule="auto"/>
              <w:jc w:val="center"/>
            </w:pPr>
            <w:r/>
            <w:r>
              <w:rPr>
                <w:sz w:val="15"/>
              </w:rPr>
              <w:t>[−0.009, +0.151]</w:t>
            </w:r>
          </w:p>
        </w:tc>
      </w:tr>
    </w:tbl>
    <w:p>
      <w:pPr>
        <w:spacing w:after="0"/>
      </w:pPr>
      <w:r>
        <w:rPr>
          <w:sz w:val="14"/>
        </w:rPr>
        <w:t>Both models evaluated on the same compounds, the subset for which the benchmark publishes per-compound predictions; all of them lie in the official test split of every endpoint. Difference = this work − benchmark, oriented by the metric. CI: paired compound-level bootstrap, B = 10 000, the same resampled compounds for both models. †: CI excludes zero in favour of this work; ‡: in favour of the benchmark (unused — no metric favours the benchmark); no mark: CI includes zero. Bold: better value. MAE and RMSE in pKa units (pKa) or log10 units (CL, VDss, Fu).</w:t>
      </w:r>
    </w:p>
    <w:p>
      <w:pPr>
        <w:spacing w:after="40"/>
      </w:pPr>
    </w:p>
    <w:p>
      <w:pPr>
        <w:jc w:val="center"/>
      </w:pPr>
      <w:r>
        <w:drawing>
          <wp:inline xmlns:a="http://schemas.openxmlformats.org/drawingml/2006/main" xmlns:pic="http://schemas.openxmlformats.org/drawingml/2006/picture">
            <wp:extent cx="5943600" cy="1812039"/>
            <wp:docPr id="3" name="Picture 3"/>
            <wp:cNvGraphicFramePr>
              <a:graphicFrameLocks noChangeAspect="1"/>
            </wp:cNvGraphicFramePr>
            <a:graphic>
              <a:graphicData uri="http://schemas.openxmlformats.org/drawingml/2006/picture">
                <pic:pic>
                  <pic:nvPicPr>
                    <pic:cNvPr id="0" name="fig3_paired_vs_jia.png"/>
                    <pic:cNvPicPr/>
                  </pic:nvPicPr>
                  <pic:blipFill>
                    <a:blip r:embed="rId11"/>
                    <a:stretch>
                      <a:fillRect/>
                    </a:stretch>
                  </pic:blipFill>
                  <pic:spPr>
                    <a:xfrm>
                      <a:off x="0" y="0"/>
                      <a:ext cx="5943600" cy="1812039"/>
                    </a:xfrm>
                    <a:prstGeom prst="rect"/>
                  </pic:spPr>
                </pic:pic>
              </a:graphicData>
            </a:graphic>
          </wp:inline>
        </w:drawing>
      </w:r>
    </w:p>
    <w:p>
      <w:pPr>
        <w:jc w:val="both"/>
      </w:pPr>
      <w:r>
        <w:rPr>
          <w:sz w:val="16"/>
        </w:rPr>
        <w:t xml:space="preserve">Fig. 3. </w:t>
      </w:r>
      <w:r>
        <w:rPr>
          <w:sz w:val="16"/>
        </w:rPr>
        <w:t>Per-compound absolute error of the benchmark's published predictions (horizontal) against this work's (vertical) on the same compounds. Points below the identity line are compounds this work predicts more accurately; the panel titles give the count. pKa in pKa units, CL, VDss and Fu in log10 units.</w:t>
      </w:r>
    </w:p>
    <w:p>
      <w:pPr>
        <w:pStyle w:val="Heading2"/>
      </w:pPr>
      <w:r>
        <w:t>D. Comparison With Untuned Classical Baselines</w:t>
      </w:r>
    </w:p>
    <w:p>
      <w:pPr>
        <w:jc w:val="both"/>
      </w:pPr>
      <w:r>
        <w:rPr>
          <w:b w:val="0"/>
          <w:i w:val="0"/>
        </w:rPr>
        <w:t>Table V compares the proposed models with three classical regressors trained on the same training split and evaluated on the same test compounds in the same order: Random Forest (RF), XGBoost (XGB) and support vector regression (SVM), each with library-default hyperparameters (no tuning). RF was trained with seeds 42–51 and is reported as a 10-seed ensemble. With default settings, XGB uses no row or column subsampling, so all ten seeds produced identical predictions and its ensemble equals a single fit; SVM is deterministic and was fit once. Fig. 4 summarizes the headline error metric per endpoint.</w:t>
      </w:r>
    </w:p>
    <w:p>
      <w:pPr>
        <w:jc w:val="both"/>
      </w:pPr>
      <w:r>
        <w:rPr>
          <w:b w:val="0"/>
          <w:i w:val="0"/>
        </w:rPr>
        <w:t>On both pKa endpoints and on Fu, the proposed model has the better value on every metric against every baseline, and every paired-difference CI excludes zero. The strongest pKa baseline by MAE is RF on the acidic set (0.699 vs. 0.424 for GraphMPNN) and XGB on the basic set (0.701 vs. 0.406). On Fu, the strongest baseline is SVM (GMFE 2.284 vs. 2.086; R² 0.663 vs. 0.712).</w:t>
      </w:r>
    </w:p>
    <w:p>
      <w:pPr>
        <w:jc w:val="both"/>
      </w:pPr>
      <w:r>
        <w:rPr>
          <w:b w:val="0"/>
          <w:i w:val="0"/>
        </w:rPr>
        <w:t>On VDss, the proposed model has the better point estimate on every metric against all three baselines; the paired CIs exclude zero against XGB and SVM on all metrics, but include zero against RF on all metrics (GMFE 1.764 vs. 1.848, paired-difference CI [-0.212, 0.041]). On CL, the proposed model is better than XGB on all metrics with CIs excluding zero, but is not resolved from RF or SVM on any metric. RF has the better point estimate on CL for MAE (0.303 vs. 0.305), GMFE (2.010 vs. 2.018) and W2F (0.638 vs. 0.605), and SVM has the better point estimate for W2F (0.627).</w:t>
      </w:r>
    </w:p>
    <w:p>
      <w:pPr>
        <w:keepNext/>
        <w:jc w:val="center"/>
      </w:pPr>
      <w:r>
        <w:rPr>
          <w:smallCaps/>
          <w:sz w:val="16"/>
        </w:rPr>
        <w:t>Table V</w:t>
        <w:br/>
      </w:r>
      <w:r>
        <w:rPr>
          <w:sz w:val="16"/>
        </w:rPr>
        <w:t>Proposed models versus untuned classical baselines (official test splits)</w:t>
      </w:r>
    </w:p>
    <w:tbl>
      <w:tblPr>
        <w:tblW w:type="auto" w:w="0"/>
        <w:jc w:val="center"/>
        <w:tblLayout w:type="fixed"/>
        <w:tblLook w:firstColumn="1" w:firstRow="1" w:lastColumn="0" w:lastRow="0" w:noHBand="0" w:noVBand="1" w:val="04A0"/>
        <w:tblLayout w:type="fixed"/>
        <w:tblW w:w="9360" w:type="dxa"/>
      </w:tblPr>
      <w:tblGrid>
        <w:gridCol w:w="1872"/>
        <w:gridCol w:w="1872"/>
        <w:gridCol w:w="1872"/>
        <w:gridCol w:w="1872"/>
        <w:gridCol w:w="1872"/>
      </w:tblGrid>
      <w:tr>
        <w:tc>
          <w:tcPr>
            <w:tcW w:type="dxa" w:w="2663"/>
            <w:tcBorders>
              <w:top w:val="single" w:sz="6" w:space="0" w:color="000000"/>
              <w:bottom w:val="single" w:sz="6" w:space="0" w:color="000000"/>
            </w:tcBorders>
          </w:tcPr>
          <w:p>
            <w:pPr>
              <w:spacing w:after="0" w:line="240" w:lineRule="auto"/>
              <w:jc w:val="left"/>
            </w:pPr>
            <w:r/>
            <w:r>
              <w:rPr>
                <w:b/>
                <w:sz w:val="15"/>
              </w:rPr>
              <w:t>Endpoint / model</w:t>
            </w:r>
          </w:p>
        </w:tc>
        <w:tc>
          <w:tcPr>
            <w:tcW w:type="dxa" w:w="6696"/>
            <w:gridSpan w:val="4"/>
            <w:tcBorders>
              <w:top w:val="single" w:sz="6" w:space="0" w:color="000000"/>
              <w:bottom w:val="single" w:sz="6" w:space="0" w:color="000000"/>
            </w:tcBorders>
          </w:tcPr>
          <w:p>
            <w:pPr>
              <w:spacing w:after="0" w:line="240" w:lineRule="auto"/>
              <w:jc w:val="center"/>
            </w:pPr>
            <w:r/>
            <w:r>
              <w:rPr>
                <w:b/>
                <w:sz w:val="15"/>
              </w:rPr>
              <w:t>Metric values (metric names given in each endpoint row)</w:t>
            </w:r>
          </w:p>
        </w:tc>
      </w:tr>
      <w:tr>
        <w:tc>
          <w:tcPr>
            <w:tcW w:type="dxa" w:w="2663"/>
          </w:tcPr>
          <w:p>
            <w:pPr>
              <w:spacing w:after="0" w:line="240" w:lineRule="auto"/>
              <w:jc w:val="left"/>
            </w:pPr>
            <w:r/>
            <w:r>
              <w:rPr>
                <w:i/>
                <w:sz w:val="15"/>
              </w:rPr>
              <w:t>pKa (acidic) (n = 776)</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RMSE</w:t>
            </w:r>
          </w:p>
        </w:tc>
        <w:tc>
          <w:tcPr>
            <w:tcW w:type="dxa" w:w="1674"/>
          </w:tcPr>
          <w:p>
            <w:pPr>
              <w:spacing w:after="0" w:line="240" w:lineRule="auto"/>
              <w:jc w:val="center"/>
            </w:pPr>
            <w:r/>
            <w:r>
              <w:rPr>
                <w:i/>
                <w:sz w:val="15"/>
              </w:rPr>
              <w:t>W1</w:t>
            </w:r>
          </w:p>
        </w:tc>
      </w:tr>
      <w:tr>
        <w:tc>
          <w:tcPr>
            <w:tcW w:type="dxa" w:w="2663"/>
          </w:tcPr>
          <w:p>
            <w:pPr>
              <w:spacing w:after="0" w:line="240" w:lineRule="auto"/>
              <w:jc w:val="left"/>
            </w:pPr>
            <w:r/>
            <w:r>
              <w:rPr>
                <w:sz w:val="15"/>
              </w:rPr>
              <w:t xml:space="preserve">  GraphMPNN</w:t>
            </w:r>
          </w:p>
        </w:tc>
        <w:tc>
          <w:tcPr>
            <w:tcW w:type="dxa" w:w="1674"/>
          </w:tcPr>
          <w:p>
            <w:pPr>
              <w:spacing w:after="0" w:line="240" w:lineRule="auto"/>
              <w:jc w:val="center"/>
            </w:pPr>
            <w:r/>
            <w:r>
              <w:rPr>
                <w:b/>
                <w:sz w:val="15"/>
              </w:rPr>
              <w:t>0.969</w:t>
            </w:r>
          </w:p>
        </w:tc>
        <w:tc>
          <w:tcPr>
            <w:tcW w:type="dxa" w:w="1674"/>
          </w:tcPr>
          <w:p>
            <w:pPr>
              <w:spacing w:after="0" w:line="240" w:lineRule="auto"/>
              <w:jc w:val="center"/>
            </w:pPr>
            <w:r/>
            <w:r>
              <w:rPr>
                <w:b/>
                <w:sz w:val="15"/>
              </w:rPr>
              <w:t>0.424</w:t>
            </w:r>
          </w:p>
        </w:tc>
        <w:tc>
          <w:tcPr>
            <w:tcW w:type="dxa" w:w="1674"/>
          </w:tcPr>
          <w:p>
            <w:pPr>
              <w:spacing w:after="0" w:line="240" w:lineRule="auto"/>
              <w:jc w:val="center"/>
            </w:pPr>
            <w:r/>
            <w:r>
              <w:rPr>
                <w:b/>
                <w:sz w:val="15"/>
              </w:rPr>
              <w:t>0.757</w:t>
            </w:r>
          </w:p>
        </w:tc>
        <w:tc>
          <w:tcPr>
            <w:tcW w:type="dxa" w:w="1674"/>
          </w:tcPr>
          <w:p>
            <w:pPr>
              <w:spacing w:after="0" w:line="240" w:lineRule="auto"/>
              <w:jc w:val="center"/>
            </w:pPr>
            <w:r/>
            <w:r>
              <w:rPr>
                <w:b/>
                <w:sz w:val="15"/>
              </w:rPr>
              <w:t>0.910</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0.927†</w:t>
            </w:r>
          </w:p>
        </w:tc>
        <w:tc>
          <w:tcPr>
            <w:tcW w:type="dxa" w:w="1674"/>
          </w:tcPr>
          <w:p>
            <w:pPr>
              <w:spacing w:after="0" w:line="240" w:lineRule="auto"/>
              <w:jc w:val="center"/>
            </w:pPr>
            <w:r/>
            <w:r>
              <w:rPr>
                <w:sz w:val="15"/>
              </w:rPr>
              <w:t>0.699†</w:t>
            </w:r>
          </w:p>
        </w:tc>
        <w:tc>
          <w:tcPr>
            <w:tcW w:type="dxa" w:w="1674"/>
          </w:tcPr>
          <w:p>
            <w:pPr>
              <w:spacing w:after="0" w:line="240" w:lineRule="auto"/>
              <w:jc w:val="center"/>
            </w:pPr>
            <w:r/>
            <w:r>
              <w:rPr>
                <w:sz w:val="15"/>
              </w:rPr>
              <w:t>1.158†</w:t>
            </w:r>
          </w:p>
        </w:tc>
        <w:tc>
          <w:tcPr>
            <w:tcW w:type="dxa" w:w="1674"/>
          </w:tcPr>
          <w:p>
            <w:pPr>
              <w:spacing w:after="0" w:line="240" w:lineRule="auto"/>
              <w:jc w:val="center"/>
            </w:pPr>
            <w:r/>
            <w:r>
              <w:rPr>
                <w:sz w:val="15"/>
              </w:rPr>
              <w:t>0.777†</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0.919†</w:t>
            </w:r>
          </w:p>
        </w:tc>
        <w:tc>
          <w:tcPr>
            <w:tcW w:type="dxa" w:w="1674"/>
          </w:tcPr>
          <w:p>
            <w:pPr>
              <w:spacing w:after="0" w:line="240" w:lineRule="auto"/>
              <w:jc w:val="center"/>
            </w:pPr>
            <w:r/>
            <w:r>
              <w:rPr>
                <w:sz w:val="15"/>
              </w:rPr>
              <w:t>0.743†</w:t>
            </w:r>
          </w:p>
        </w:tc>
        <w:tc>
          <w:tcPr>
            <w:tcW w:type="dxa" w:w="1674"/>
          </w:tcPr>
          <w:p>
            <w:pPr>
              <w:spacing w:after="0" w:line="240" w:lineRule="auto"/>
              <w:jc w:val="center"/>
            </w:pPr>
            <w:r/>
            <w:r>
              <w:rPr>
                <w:sz w:val="15"/>
              </w:rPr>
              <w:t>1.221†</w:t>
            </w:r>
          </w:p>
        </w:tc>
        <w:tc>
          <w:tcPr>
            <w:tcW w:type="dxa" w:w="1674"/>
          </w:tcPr>
          <w:p>
            <w:pPr>
              <w:spacing w:after="0" w:line="240" w:lineRule="auto"/>
              <w:jc w:val="center"/>
            </w:pPr>
            <w:r/>
            <w:r>
              <w:rPr>
                <w:sz w:val="15"/>
              </w:rPr>
              <w:t>0.781†</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0.770†</w:t>
            </w:r>
          </w:p>
        </w:tc>
        <w:tc>
          <w:tcPr>
            <w:tcW w:type="dxa" w:w="1674"/>
          </w:tcPr>
          <w:p>
            <w:pPr>
              <w:spacing w:after="0" w:line="240" w:lineRule="auto"/>
              <w:jc w:val="center"/>
            </w:pPr>
            <w:r/>
            <w:r>
              <w:rPr>
                <w:sz w:val="15"/>
              </w:rPr>
              <w:t>1.475†</w:t>
            </w:r>
          </w:p>
        </w:tc>
        <w:tc>
          <w:tcPr>
            <w:tcW w:type="dxa" w:w="1674"/>
          </w:tcPr>
          <w:p>
            <w:pPr>
              <w:spacing w:after="0" w:line="240" w:lineRule="auto"/>
              <w:jc w:val="center"/>
            </w:pPr>
            <w:r/>
            <w:r>
              <w:rPr>
                <w:sz w:val="15"/>
              </w:rPr>
              <w:t>2.057†</w:t>
            </w:r>
          </w:p>
        </w:tc>
        <w:tc>
          <w:tcPr>
            <w:tcW w:type="dxa" w:w="1674"/>
          </w:tcPr>
          <w:p>
            <w:pPr>
              <w:spacing w:after="0" w:line="240" w:lineRule="auto"/>
              <w:jc w:val="center"/>
            </w:pPr>
            <w:r/>
            <w:r>
              <w:rPr>
                <w:sz w:val="15"/>
              </w:rPr>
              <w:t>0.499†</w:t>
            </w:r>
          </w:p>
        </w:tc>
      </w:tr>
      <w:tr>
        <w:tc>
          <w:tcPr>
            <w:tcW w:type="dxa" w:w="2663"/>
          </w:tcPr>
          <w:p>
            <w:pPr>
              <w:spacing w:after="0" w:line="240" w:lineRule="auto"/>
              <w:jc w:val="left"/>
            </w:pPr>
            <w:r/>
            <w:r>
              <w:rPr>
                <w:i/>
                <w:sz w:val="15"/>
              </w:rPr>
              <w:t>pKa (basic) (n = 815)</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RMSE</w:t>
            </w:r>
          </w:p>
        </w:tc>
        <w:tc>
          <w:tcPr>
            <w:tcW w:type="dxa" w:w="1674"/>
          </w:tcPr>
          <w:p>
            <w:pPr>
              <w:spacing w:after="0" w:line="240" w:lineRule="auto"/>
              <w:jc w:val="center"/>
            </w:pPr>
            <w:r/>
            <w:r>
              <w:rPr>
                <w:i/>
                <w:sz w:val="15"/>
              </w:rPr>
              <w:t>W1</w:t>
            </w:r>
          </w:p>
        </w:tc>
      </w:tr>
      <w:tr>
        <w:tc>
          <w:tcPr>
            <w:tcW w:type="dxa" w:w="2663"/>
          </w:tcPr>
          <w:p>
            <w:pPr>
              <w:spacing w:after="0" w:line="240" w:lineRule="auto"/>
              <w:jc w:val="left"/>
            </w:pPr>
            <w:r/>
            <w:r>
              <w:rPr>
                <w:sz w:val="15"/>
              </w:rPr>
              <w:t xml:space="preserve">  GraphMPNN (no site readout)</w:t>
            </w:r>
          </w:p>
        </w:tc>
        <w:tc>
          <w:tcPr>
            <w:tcW w:type="dxa" w:w="1674"/>
          </w:tcPr>
          <w:p>
            <w:pPr>
              <w:spacing w:after="0" w:line="240" w:lineRule="auto"/>
              <w:jc w:val="center"/>
            </w:pPr>
            <w:r/>
            <w:r>
              <w:rPr>
                <w:b/>
                <w:sz w:val="15"/>
              </w:rPr>
              <w:t>0.950</w:t>
            </w:r>
          </w:p>
        </w:tc>
        <w:tc>
          <w:tcPr>
            <w:tcW w:type="dxa" w:w="1674"/>
          </w:tcPr>
          <w:p>
            <w:pPr>
              <w:spacing w:after="0" w:line="240" w:lineRule="auto"/>
              <w:jc w:val="center"/>
            </w:pPr>
            <w:r/>
            <w:r>
              <w:rPr>
                <w:b/>
                <w:sz w:val="15"/>
              </w:rPr>
              <w:t>0.406</w:t>
            </w:r>
          </w:p>
        </w:tc>
        <w:tc>
          <w:tcPr>
            <w:tcW w:type="dxa" w:w="1674"/>
          </w:tcPr>
          <w:p>
            <w:pPr>
              <w:spacing w:after="0" w:line="240" w:lineRule="auto"/>
              <w:jc w:val="center"/>
            </w:pPr>
            <w:r/>
            <w:r>
              <w:rPr>
                <w:b/>
                <w:sz w:val="15"/>
              </w:rPr>
              <w:t>0.654</w:t>
            </w:r>
          </w:p>
        </w:tc>
        <w:tc>
          <w:tcPr>
            <w:tcW w:type="dxa" w:w="1674"/>
          </w:tcPr>
          <w:p>
            <w:pPr>
              <w:spacing w:after="0" w:line="240" w:lineRule="auto"/>
              <w:jc w:val="center"/>
            </w:pPr>
            <w:r/>
            <w:r>
              <w:rPr>
                <w:b/>
                <w:sz w:val="15"/>
              </w:rPr>
              <w:t>0.907</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0.862†</w:t>
            </w:r>
          </w:p>
        </w:tc>
        <w:tc>
          <w:tcPr>
            <w:tcW w:type="dxa" w:w="1674"/>
          </w:tcPr>
          <w:p>
            <w:pPr>
              <w:spacing w:after="0" w:line="240" w:lineRule="auto"/>
              <w:jc w:val="center"/>
            </w:pPr>
            <w:r/>
            <w:r>
              <w:rPr>
                <w:sz w:val="15"/>
              </w:rPr>
              <w:t>0.758†</w:t>
            </w:r>
          </w:p>
        </w:tc>
        <w:tc>
          <w:tcPr>
            <w:tcW w:type="dxa" w:w="1674"/>
          </w:tcPr>
          <w:p>
            <w:pPr>
              <w:spacing w:after="0" w:line="240" w:lineRule="auto"/>
              <w:jc w:val="center"/>
            </w:pPr>
            <w:r/>
            <w:r>
              <w:rPr>
                <w:sz w:val="15"/>
              </w:rPr>
              <w:t>1.089†</w:t>
            </w:r>
          </w:p>
        </w:tc>
        <w:tc>
          <w:tcPr>
            <w:tcW w:type="dxa" w:w="1674"/>
          </w:tcPr>
          <w:p>
            <w:pPr>
              <w:spacing w:after="0" w:line="240" w:lineRule="auto"/>
              <w:jc w:val="center"/>
            </w:pPr>
            <w:r/>
            <w:r>
              <w:rPr>
                <w:sz w:val="15"/>
              </w:rPr>
              <w:t>0.746†</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0.881†</w:t>
            </w:r>
          </w:p>
        </w:tc>
        <w:tc>
          <w:tcPr>
            <w:tcW w:type="dxa" w:w="1674"/>
          </w:tcPr>
          <w:p>
            <w:pPr>
              <w:spacing w:after="0" w:line="240" w:lineRule="auto"/>
              <w:jc w:val="center"/>
            </w:pPr>
            <w:r/>
            <w:r>
              <w:rPr>
                <w:sz w:val="15"/>
              </w:rPr>
              <w:t>0.701†</w:t>
            </w:r>
          </w:p>
        </w:tc>
        <w:tc>
          <w:tcPr>
            <w:tcW w:type="dxa" w:w="1674"/>
          </w:tcPr>
          <w:p>
            <w:pPr>
              <w:spacing w:after="0" w:line="240" w:lineRule="auto"/>
              <w:jc w:val="center"/>
            </w:pPr>
            <w:r/>
            <w:r>
              <w:rPr>
                <w:sz w:val="15"/>
              </w:rPr>
              <w:t>1.012†</w:t>
            </w:r>
          </w:p>
        </w:tc>
        <w:tc>
          <w:tcPr>
            <w:tcW w:type="dxa" w:w="1674"/>
          </w:tcPr>
          <w:p>
            <w:pPr>
              <w:spacing w:after="0" w:line="240" w:lineRule="auto"/>
              <w:jc w:val="center"/>
            </w:pPr>
            <w:r/>
            <w:r>
              <w:rPr>
                <w:sz w:val="15"/>
              </w:rPr>
              <w:t>0.756†</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0.723†</w:t>
            </w:r>
          </w:p>
        </w:tc>
        <w:tc>
          <w:tcPr>
            <w:tcW w:type="dxa" w:w="1674"/>
          </w:tcPr>
          <w:p>
            <w:pPr>
              <w:spacing w:after="0" w:line="240" w:lineRule="auto"/>
              <w:jc w:val="center"/>
            </w:pPr>
            <w:r/>
            <w:r>
              <w:rPr>
                <w:sz w:val="15"/>
              </w:rPr>
              <w:t>1.067†</w:t>
            </w:r>
          </w:p>
        </w:tc>
        <w:tc>
          <w:tcPr>
            <w:tcW w:type="dxa" w:w="1674"/>
          </w:tcPr>
          <w:p>
            <w:pPr>
              <w:spacing w:after="0" w:line="240" w:lineRule="auto"/>
              <w:jc w:val="center"/>
            </w:pPr>
            <w:r/>
            <w:r>
              <w:rPr>
                <w:sz w:val="15"/>
              </w:rPr>
              <w:t>1.546†</w:t>
            </w:r>
          </w:p>
        </w:tc>
        <w:tc>
          <w:tcPr>
            <w:tcW w:type="dxa" w:w="1674"/>
          </w:tcPr>
          <w:p>
            <w:pPr>
              <w:spacing w:after="0" w:line="240" w:lineRule="auto"/>
              <w:jc w:val="center"/>
            </w:pPr>
            <w:r/>
            <w:r>
              <w:rPr>
                <w:sz w:val="15"/>
              </w:rPr>
              <w:t>0.634†</w:t>
            </w:r>
          </w:p>
        </w:tc>
      </w:tr>
      <w:tr>
        <w:tc>
          <w:tcPr>
            <w:tcW w:type="dxa" w:w="2663"/>
          </w:tcPr>
          <w:p>
            <w:pPr>
              <w:spacing w:after="0" w:line="240" w:lineRule="auto"/>
              <w:jc w:val="left"/>
            </w:pPr>
            <w:r/>
            <w:r>
              <w:rPr>
                <w:i/>
                <w:sz w:val="15"/>
              </w:rPr>
              <w:t>CL (n = 177)</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MFMN-DynGate</w:t>
            </w:r>
          </w:p>
        </w:tc>
        <w:tc>
          <w:tcPr>
            <w:tcW w:type="dxa" w:w="1674"/>
          </w:tcPr>
          <w:p>
            <w:pPr>
              <w:spacing w:after="0" w:line="240" w:lineRule="auto"/>
              <w:jc w:val="center"/>
            </w:pPr>
            <w:r/>
            <w:r>
              <w:rPr>
                <w:b/>
                <w:sz w:val="15"/>
              </w:rPr>
              <w:t>0.497</w:t>
            </w:r>
          </w:p>
        </w:tc>
        <w:tc>
          <w:tcPr>
            <w:tcW w:type="dxa" w:w="1674"/>
          </w:tcPr>
          <w:p>
            <w:pPr>
              <w:spacing w:after="0" w:line="240" w:lineRule="auto"/>
              <w:jc w:val="center"/>
            </w:pPr>
            <w:r/>
            <w:r>
              <w:rPr>
                <w:sz w:val="15"/>
              </w:rPr>
              <w:t>0.305</w:t>
            </w:r>
          </w:p>
        </w:tc>
        <w:tc>
          <w:tcPr>
            <w:tcW w:type="dxa" w:w="1674"/>
          </w:tcPr>
          <w:p>
            <w:pPr>
              <w:spacing w:after="0" w:line="240" w:lineRule="auto"/>
              <w:jc w:val="center"/>
            </w:pPr>
            <w:r/>
            <w:r>
              <w:rPr>
                <w:sz w:val="15"/>
              </w:rPr>
              <w:t>2.018</w:t>
            </w:r>
          </w:p>
        </w:tc>
        <w:tc>
          <w:tcPr>
            <w:tcW w:type="dxa" w:w="1674"/>
          </w:tcPr>
          <w:p>
            <w:pPr>
              <w:spacing w:after="0" w:line="240" w:lineRule="auto"/>
              <w:jc w:val="center"/>
            </w:pPr>
            <w:r/>
            <w:r>
              <w:rPr>
                <w:sz w:val="15"/>
              </w:rPr>
              <w:t>0.605</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0.484</w:t>
            </w:r>
          </w:p>
        </w:tc>
        <w:tc>
          <w:tcPr>
            <w:tcW w:type="dxa" w:w="1674"/>
          </w:tcPr>
          <w:p>
            <w:pPr>
              <w:spacing w:after="0" w:line="240" w:lineRule="auto"/>
              <w:jc w:val="center"/>
            </w:pPr>
            <w:r/>
            <w:r>
              <w:rPr>
                <w:b/>
                <w:sz w:val="15"/>
              </w:rPr>
              <w:t>0.303</w:t>
            </w:r>
          </w:p>
        </w:tc>
        <w:tc>
          <w:tcPr>
            <w:tcW w:type="dxa" w:w="1674"/>
          </w:tcPr>
          <w:p>
            <w:pPr>
              <w:spacing w:after="0" w:line="240" w:lineRule="auto"/>
              <w:jc w:val="center"/>
            </w:pPr>
            <w:r/>
            <w:r>
              <w:rPr>
                <w:b/>
                <w:sz w:val="15"/>
              </w:rPr>
              <w:t>2.010</w:t>
            </w:r>
          </w:p>
        </w:tc>
        <w:tc>
          <w:tcPr>
            <w:tcW w:type="dxa" w:w="1674"/>
          </w:tcPr>
          <w:p>
            <w:pPr>
              <w:spacing w:after="0" w:line="240" w:lineRule="auto"/>
              <w:jc w:val="center"/>
            </w:pPr>
            <w:r/>
            <w:r>
              <w:rPr>
                <w:b/>
                <w:sz w:val="15"/>
              </w:rPr>
              <w:t>0.638</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0.374†</w:t>
            </w:r>
          </w:p>
        </w:tc>
        <w:tc>
          <w:tcPr>
            <w:tcW w:type="dxa" w:w="1674"/>
          </w:tcPr>
          <w:p>
            <w:pPr>
              <w:spacing w:after="0" w:line="240" w:lineRule="auto"/>
              <w:jc w:val="center"/>
            </w:pPr>
            <w:r/>
            <w:r>
              <w:rPr>
                <w:sz w:val="15"/>
              </w:rPr>
              <w:t>0.355†</w:t>
            </w:r>
          </w:p>
        </w:tc>
        <w:tc>
          <w:tcPr>
            <w:tcW w:type="dxa" w:w="1674"/>
          </w:tcPr>
          <w:p>
            <w:pPr>
              <w:spacing w:after="0" w:line="240" w:lineRule="auto"/>
              <w:jc w:val="center"/>
            </w:pPr>
            <w:r/>
            <w:r>
              <w:rPr>
                <w:sz w:val="15"/>
              </w:rPr>
              <w:t>2.266†</w:t>
            </w:r>
          </w:p>
        </w:tc>
        <w:tc>
          <w:tcPr>
            <w:tcW w:type="dxa" w:w="1674"/>
          </w:tcPr>
          <w:p>
            <w:pPr>
              <w:spacing w:after="0" w:line="240" w:lineRule="auto"/>
              <w:jc w:val="center"/>
            </w:pPr>
            <w:r/>
            <w:r>
              <w:rPr>
                <w:sz w:val="15"/>
              </w:rPr>
              <w:t>0.497†</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0.485</w:t>
            </w:r>
          </w:p>
        </w:tc>
        <w:tc>
          <w:tcPr>
            <w:tcW w:type="dxa" w:w="1674"/>
          </w:tcPr>
          <w:p>
            <w:pPr>
              <w:spacing w:after="0" w:line="240" w:lineRule="auto"/>
              <w:jc w:val="center"/>
            </w:pPr>
            <w:r/>
            <w:r>
              <w:rPr>
                <w:sz w:val="15"/>
              </w:rPr>
              <w:t>0.310</w:t>
            </w:r>
          </w:p>
        </w:tc>
        <w:tc>
          <w:tcPr>
            <w:tcW w:type="dxa" w:w="1674"/>
          </w:tcPr>
          <w:p>
            <w:pPr>
              <w:spacing w:after="0" w:line="240" w:lineRule="auto"/>
              <w:jc w:val="center"/>
            </w:pPr>
            <w:r/>
            <w:r>
              <w:rPr>
                <w:sz w:val="15"/>
              </w:rPr>
              <w:t>2.042</w:t>
            </w:r>
          </w:p>
        </w:tc>
        <w:tc>
          <w:tcPr>
            <w:tcW w:type="dxa" w:w="1674"/>
          </w:tcPr>
          <w:p>
            <w:pPr>
              <w:spacing w:after="0" w:line="240" w:lineRule="auto"/>
              <w:jc w:val="center"/>
            </w:pPr>
            <w:r/>
            <w:r>
              <w:rPr>
                <w:sz w:val="15"/>
              </w:rPr>
              <w:t>0.627</w:t>
            </w:r>
          </w:p>
        </w:tc>
      </w:tr>
      <w:tr>
        <w:tc>
          <w:tcPr>
            <w:tcW w:type="dxa" w:w="2663"/>
          </w:tcPr>
          <w:p>
            <w:pPr>
              <w:spacing w:after="0" w:line="240" w:lineRule="auto"/>
              <w:jc w:val="left"/>
            </w:pPr>
            <w:r/>
            <w:r>
              <w:rPr>
                <w:i/>
                <w:sz w:val="15"/>
              </w:rPr>
              <w:t>VDss (n = 177)</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MFMN-InteractAux</w:t>
            </w:r>
          </w:p>
        </w:tc>
        <w:tc>
          <w:tcPr>
            <w:tcW w:type="dxa" w:w="1674"/>
          </w:tcPr>
          <w:p>
            <w:pPr>
              <w:spacing w:after="0" w:line="240" w:lineRule="auto"/>
              <w:jc w:val="center"/>
            </w:pPr>
            <w:r/>
            <w:r>
              <w:rPr>
                <w:b/>
                <w:sz w:val="15"/>
              </w:rPr>
              <w:t>0.648</w:t>
            </w:r>
          </w:p>
        </w:tc>
        <w:tc>
          <w:tcPr>
            <w:tcW w:type="dxa" w:w="1674"/>
          </w:tcPr>
          <w:p>
            <w:pPr>
              <w:spacing w:after="0" w:line="240" w:lineRule="auto"/>
              <w:jc w:val="center"/>
            </w:pPr>
            <w:r/>
            <w:r>
              <w:rPr>
                <w:b/>
                <w:sz w:val="15"/>
              </w:rPr>
              <w:t>0.247</w:t>
            </w:r>
          </w:p>
        </w:tc>
        <w:tc>
          <w:tcPr>
            <w:tcW w:type="dxa" w:w="1674"/>
          </w:tcPr>
          <w:p>
            <w:pPr>
              <w:spacing w:after="0" w:line="240" w:lineRule="auto"/>
              <w:jc w:val="center"/>
            </w:pPr>
            <w:r/>
            <w:r>
              <w:rPr>
                <w:b/>
                <w:sz w:val="15"/>
              </w:rPr>
              <w:t>1.764</w:t>
            </w:r>
          </w:p>
        </w:tc>
        <w:tc>
          <w:tcPr>
            <w:tcW w:type="dxa" w:w="1674"/>
          </w:tcPr>
          <w:p>
            <w:pPr>
              <w:spacing w:after="0" w:line="240" w:lineRule="auto"/>
              <w:jc w:val="center"/>
            </w:pPr>
            <w:r/>
            <w:r>
              <w:rPr>
                <w:b/>
                <w:sz w:val="15"/>
              </w:rPr>
              <w:t>0.684</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0.609</w:t>
            </w:r>
          </w:p>
        </w:tc>
        <w:tc>
          <w:tcPr>
            <w:tcW w:type="dxa" w:w="1674"/>
          </w:tcPr>
          <w:p>
            <w:pPr>
              <w:spacing w:after="0" w:line="240" w:lineRule="auto"/>
              <w:jc w:val="center"/>
            </w:pPr>
            <w:r/>
            <w:r>
              <w:rPr>
                <w:sz w:val="15"/>
              </w:rPr>
              <w:t>0.267</w:t>
            </w:r>
          </w:p>
        </w:tc>
        <w:tc>
          <w:tcPr>
            <w:tcW w:type="dxa" w:w="1674"/>
          </w:tcPr>
          <w:p>
            <w:pPr>
              <w:spacing w:after="0" w:line="240" w:lineRule="auto"/>
              <w:jc w:val="center"/>
            </w:pPr>
            <w:r/>
            <w:r>
              <w:rPr>
                <w:sz w:val="15"/>
              </w:rPr>
              <w:t>1.848</w:t>
            </w:r>
          </w:p>
        </w:tc>
        <w:tc>
          <w:tcPr>
            <w:tcW w:type="dxa" w:w="1674"/>
          </w:tcPr>
          <w:p>
            <w:pPr>
              <w:spacing w:after="0" w:line="240" w:lineRule="auto"/>
              <w:jc w:val="center"/>
            </w:pPr>
            <w:r/>
            <w:r>
              <w:rPr>
                <w:sz w:val="15"/>
              </w:rPr>
              <w:t>0.661</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0.485†</w:t>
            </w:r>
          </w:p>
        </w:tc>
        <w:tc>
          <w:tcPr>
            <w:tcW w:type="dxa" w:w="1674"/>
          </w:tcPr>
          <w:p>
            <w:pPr>
              <w:spacing w:after="0" w:line="240" w:lineRule="auto"/>
              <w:jc w:val="center"/>
            </w:pPr>
            <w:r/>
            <w:r>
              <w:rPr>
                <w:sz w:val="15"/>
              </w:rPr>
              <w:t>0.307†</w:t>
            </w:r>
          </w:p>
        </w:tc>
        <w:tc>
          <w:tcPr>
            <w:tcW w:type="dxa" w:w="1674"/>
          </w:tcPr>
          <w:p>
            <w:pPr>
              <w:spacing w:after="0" w:line="240" w:lineRule="auto"/>
              <w:jc w:val="center"/>
            </w:pPr>
            <w:r/>
            <w:r>
              <w:rPr>
                <w:sz w:val="15"/>
              </w:rPr>
              <w:t>2.026†</w:t>
            </w:r>
          </w:p>
        </w:tc>
        <w:tc>
          <w:tcPr>
            <w:tcW w:type="dxa" w:w="1674"/>
          </w:tcPr>
          <w:p>
            <w:pPr>
              <w:spacing w:after="0" w:line="240" w:lineRule="auto"/>
              <w:jc w:val="center"/>
            </w:pPr>
            <w:r/>
            <w:r>
              <w:rPr>
                <w:sz w:val="15"/>
              </w:rPr>
              <w:t>0.588†</w:t>
            </w:r>
          </w:p>
        </w:tc>
      </w:tr>
      <w:tr>
        <w:tc>
          <w:tcPr>
            <w:tcW w:type="dxa" w:w="2663"/>
          </w:tcPr>
          <w:p>
            <w:pPr>
              <w:spacing w:after="0" w:line="240" w:lineRule="auto"/>
              <w:jc w:val="left"/>
            </w:pPr>
            <w:r/>
            <w:r>
              <w:rPr>
                <w:sz w:val="15"/>
              </w:rPr>
              <w:t xml:space="preserve">  SVM</w:t>
            </w:r>
          </w:p>
        </w:tc>
        <w:tc>
          <w:tcPr>
            <w:tcW w:type="dxa" w:w="1674"/>
          </w:tcPr>
          <w:p>
            <w:pPr>
              <w:spacing w:after="0" w:line="240" w:lineRule="auto"/>
              <w:jc w:val="center"/>
            </w:pPr>
            <w:r/>
            <w:r>
              <w:rPr>
                <w:sz w:val="15"/>
              </w:rPr>
              <w:t>0.542†</w:t>
            </w:r>
          </w:p>
        </w:tc>
        <w:tc>
          <w:tcPr>
            <w:tcW w:type="dxa" w:w="1674"/>
          </w:tcPr>
          <w:p>
            <w:pPr>
              <w:spacing w:after="0" w:line="240" w:lineRule="auto"/>
              <w:jc w:val="center"/>
            </w:pPr>
            <w:r/>
            <w:r>
              <w:rPr>
                <w:sz w:val="15"/>
              </w:rPr>
              <w:t>0.283†</w:t>
            </w:r>
          </w:p>
        </w:tc>
        <w:tc>
          <w:tcPr>
            <w:tcW w:type="dxa" w:w="1674"/>
          </w:tcPr>
          <w:p>
            <w:pPr>
              <w:spacing w:after="0" w:line="240" w:lineRule="auto"/>
              <w:jc w:val="center"/>
            </w:pPr>
            <w:r/>
            <w:r>
              <w:rPr>
                <w:sz w:val="15"/>
              </w:rPr>
              <w:t>1.919†</w:t>
            </w:r>
          </w:p>
        </w:tc>
        <w:tc>
          <w:tcPr>
            <w:tcW w:type="dxa" w:w="1674"/>
          </w:tcPr>
          <w:p>
            <w:pPr>
              <w:spacing w:after="0" w:line="240" w:lineRule="auto"/>
              <w:jc w:val="center"/>
            </w:pPr>
            <w:r/>
            <w:r>
              <w:rPr>
                <w:sz w:val="15"/>
              </w:rPr>
              <w:t>0.610†</w:t>
            </w:r>
          </w:p>
        </w:tc>
      </w:tr>
      <w:tr>
        <w:tc>
          <w:tcPr>
            <w:tcW w:type="dxa" w:w="2663"/>
          </w:tcPr>
          <w:p>
            <w:pPr>
              <w:spacing w:after="0" w:line="240" w:lineRule="auto"/>
              <w:jc w:val="left"/>
            </w:pPr>
            <w:r/>
            <w:r>
              <w:rPr>
                <w:i/>
                <w:sz w:val="15"/>
              </w:rPr>
              <w:t>Fu (n = 633)</w:t>
            </w:r>
          </w:p>
        </w:tc>
        <w:tc>
          <w:tcPr>
            <w:tcW w:type="dxa" w:w="1674"/>
          </w:tcPr>
          <w:p>
            <w:pPr>
              <w:spacing w:after="0" w:line="240" w:lineRule="auto"/>
              <w:jc w:val="center"/>
            </w:pPr>
            <w:r/>
            <w:r>
              <w:rPr>
                <w:i/>
                <w:sz w:val="15"/>
              </w:rPr>
              <w:t>R²</w:t>
            </w:r>
          </w:p>
        </w:tc>
        <w:tc>
          <w:tcPr>
            <w:tcW w:type="dxa" w:w="1674"/>
          </w:tcPr>
          <w:p>
            <w:pPr>
              <w:spacing w:after="0" w:line="240" w:lineRule="auto"/>
              <w:jc w:val="center"/>
            </w:pPr>
            <w:r/>
            <w:r>
              <w:rPr>
                <w:i/>
                <w:sz w:val="15"/>
              </w:rPr>
              <w:t>MAE</w:t>
            </w:r>
          </w:p>
        </w:tc>
        <w:tc>
          <w:tcPr>
            <w:tcW w:type="dxa" w:w="1674"/>
          </w:tcPr>
          <w:p>
            <w:pPr>
              <w:spacing w:after="0" w:line="240" w:lineRule="auto"/>
              <w:jc w:val="center"/>
            </w:pPr>
            <w:r/>
            <w:r>
              <w:rPr>
                <w:i/>
                <w:sz w:val="15"/>
              </w:rPr>
              <w:t>GMFE</w:t>
            </w:r>
          </w:p>
        </w:tc>
        <w:tc>
          <w:tcPr>
            <w:tcW w:type="dxa" w:w="1674"/>
          </w:tcPr>
          <w:p>
            <w:pPr>
              <w:spacing w:after="0" w:line="240" w:lineRule="auto"/>
              <w:jc w:val="center"/>
            </w:pPr>
            <w:r/>
            <w:r>
              <w:rPr>
                <w:i/>
                <w:sz w:val="15"/>
              </w:rPr>
              <w:t>W2F</w:t>
            </w:r>
          </w:p>
        </w:tc>
      </w:tr>
      <w:tr>
        <w:tc>
          <w:tcPr>
            <w:tcW w:type="dxa" w:w="2663"/>
          </w:tcPr>
          <w:p>
            <w:pPr>
              <w:spacing w:after="0" w:line="240" w:lineRule="auto"/>
              <w:jc w:val="left"/>
            </w:pPr>
            <w:r/>
            <w:r>
              <w:rPr>
                <w:sz w:val="15"/>
              </w:rPr>
              <w:t xml:space="preserve">  MFMN-DynGate + LW</w:t>
            </w:r>
          </w:p>
        </w:tc>
        <w:tc>
          <w:tcPr>
            <w:tcW w:type="dxa" w:w="1674"/>
          </w:tcPr>
          <w:p>
            <w:pPr>
              <w:spacing w:after="0" w:line="240" w:lineRule="auto"/>
              <w:jc w:val="center"/>
            </w:pPr>
            <w:r/>
            <w:r>
              <w:rPr>
                <w:b/>
                <w:sz w:val="15"/>
              </w:rPr>
              <w:t>0.712</w:t>
            </w:r>
          </w:p>
        </w:tc>
        <w:tc>
          <w:tcPr>
            <w:tcW w:type="dxa" w:w="1674"/>
          </w:tcPr>
          <w:p>
            <w:pPr>
              <w:spacing w:after="0" w:line="240" w:lineRule="auto"/>
              <w:jc w:val="center"/>
            </w:pPr>
            <w:r/>
            <w:r>
              <w:rPr>
                <w:b/>
                <w:sz w:val="15"/>
              </w:rPr>
              <w:t>0.319</w:t>
            </w:r>
          </w:p>
        </w:tc>
        <w:tc>
          <w:tcPr>
            <w:tcW w:type="dxa" w:w="1674"/>
          </w:tcPr>
          <w:p>
            <w:pPr>
              <w:spacing w:after="0" w:line="240" w:lineRule="auto"/>
              <w:jc w:val="center"/>
            </w:pPr>
            <w:r/>
            <w:r>
              <w:rPr>
                <w:b/>
                <w:sz w:val="15"/>
              </w:rPr>
              <w:t>2.086</w:t>
            </w:r>
          </w:p>
        </w:tc>
        <w:tc>
          <w:tcPr>
            <w:tcW w:type="dxa" w:w="1674"/>
          </w:tcPr>
          <w:p>
            <w:pPr>
              <w:spacing w:after="0" w:line="240" w:lineRule="auto"/>
              <w:jc w:val="center"/>
            </w:pPr>
            <w:r/>
            <w:r>
              <w:rPr>
                <w:b/>
                <w:sz w:val="15"/>
              </w:rPr>
              <w:t>0.613</w:t>
            </w:r>
          </w:p>
        </w:tc>
      </w:tr>
      <w:tr>
        <w:tc>
          <w:tcPr>
            <w:tcW w:type="dxa" w:w="2663"/>
          </w:tcPr>
          <w:p>
            <w:pPr>
              <w:spacing w:after="0" w:line="240" w:lineRule="auto"/>
              <w:jc w:val="left"/>
            </w:pPr>
            <w:r/>
            <w:r>
              <w:rPr>
                <w:sz w:val="15"/>
              </w:rPr>
              <w:t xml:space="preserve">  Random Forest</w:t>
            </w:r>
          </w:p>
        </w:tc>
        <w:tc>
          <w:tcPr>
            <w:tcW w:type="dxa" w:w="1674"/>
          </w:tcPr>
          <w:p>
            <w:pPr>
              <w:spacing w:after="0" w:line="240" w:lineRule="auto"/>
              <w:jc w:val="center"/>
            </w:pPr>
            <w:r/>
            <w:r>
              <w:rPr>
                <w:sz w:val="15"/>
              </w:rPr>
              <w:t>0.630†</w:t>
            </w:r>
          </w:p>
        </w:tc>
        <w:tc>
          <w:tcPr>
            <w:tcW w:type="dxa" w:w="1674"/>
          </w:tcPr>
          <w:p>
            <w:pPr>
              <w:spacing w:after="0" w:line="240" w:lineRule="auto"/>
              <w:jc w:val="center"/>
            </w:pPr>
            <w:r/>
            <w:r>
              <w:rPr>
                <w:sz w:val="15"/>
              </w:rPr>
              <w:t>0.379†</w:t>
            </w:r>
          </w:p>
        </w:tc>
        <w:tc>
          <w:tcPr>
            <w:tcW w:type="dxa" w:w="1674"/>
          </w:tcPr>
          <w:p>
            <w:pPr>
              <w:spacing w:after="0" w:line="240" w:lineRule="auto"/>
              <w:jc w:val="center"/>
            </w:pPr>
            <w:r/>
            <w:r>
              <w:rPr>
                <w:sz w:val="15"/>
              </w:rPr>
              <w:t>2.391†</w:t>
            </w:r>
          </w:p>
        </w:tc>
        <w:tc>
          <w:tcPr>
            <w:tcW w:type="dxa" w:w="1674"/>
          </w:tcPr>
          <w:p>
            <w:pPr>
              <w:spacing w:after="0" w:line="240" w:lineRule="auto"/>
              <w:jc w:val="center"/>
            </w:pPr>
            <w:r/>
            <w:r>
              <w:rPr>
                <w:sz w:val="15"/>
              </w:rPr>
              <w:t>0.488†</w:t>
            </w:r>
          </w:p>
        </w:tc>
      </w:tr>
      <w:tr>
        <w:tc>
          <w:tcPr>
            <w:tcW w:type="dxa" w:w="2663"/>
          </w:tcPr>
          <w:p>
            <w:pPr>
              <w:spacing w:after="0" w:line="240" w:lineRule="auto"/>
              <w:jc w:val="left"/>
            </w:pPr>
            <w:r/>
            <w:r>
              <w:rPr>
                <w:sz w:val="15"/>
              </w:rPr>
              <w:t xml:space="preserve">  XGBoost</w:t>
            </w:r>
          </w:p>
        </w:tc>
        <w:tc>
          <w:tcPr>
            <w:tcW w:type="dxa" w:w="1674"/>
          </w:tcPr>
          <w:p>
            <w:pPr>
              <w:spacing w:after="0" w:line="240" w:lineRule="auto"/>
              <w:jc w:val="center"/>
            </w:pPr>
            <w:r/>
            <w:r>
              <w:rPr>
                <w:sz w:val="15"/>
              </w:rPr>
              <w:t>0.643†</w:t>
            </w:r>
          </w:p>
        </w:tc>
        <w:tc>
          <w:tcPr>
            <w:tcW w:type="dxa" w:w="1674"/>
          </w:tcPr>
          <w:p>
            <w:pPr>
              <w:spacing w:after="0" w:line="240" w:lineRule="auto"/>
              <w:jc w:val="center"/>
            </w:pPr>
            <w:r/>
            <w:r>
              <w:rPr>
                <w:sz w:val="15"/>
              </w:rPr>
              <w:t>0.365†</w:t>
            </w:r>
          </w:p>
        </w:tc>
        <w:tc>
          <w:tcPr>
            <w:tcW w:type="dxa" w:w="1674"/>
          </w:tcPr>
          <w:p>
            <w:pPr>
              <w:spacing w:after="0" w:line="240" w:lineRule="auto"/>
              <w:jc w:val="center"/>
            </w:pPr>
            <w:r/>
            <w:r>
              <w:rPr>
                <w:sz w:val="15"/>
              </w:rPr>
              <w:t>2.316†</w:t>
            </w:r>
          </w:p>
        </w:tc>
        <w:tc>
          <w:tcPr>
            <w:tcW w:type="dxa" w:w="1674"/>
          </w:tcPr>
          <w:p>
            <w:pPr>
              <w:spacing w:after="0" w:line="240" w:lineRule="auto"/>
              <w:jc w:val="center"/>
            </w:pPr>
            <w:r/>
            <w:r>
              <w:rPr>
                <w:sz w:val="15"/>
              </w:rPr>
              <w:t>0.531†</w:t>
            </w:r>
          </w:p>
        </w:tc>
      </w:tr>
      <w:tr>
        <w:tc>
          <w:tcPr>
            <w:tcW w:type="dxa" w:w="2663"/>
            <w:tcBorders>
              <w:bottom w:val="single" w:sz="6" w:space="0" w:color="000000"/>
            </w:tcBorders>
          </w:tcPr>
          <w:p>
            <w:pPr>
              <w:spacing w:after="0" w:line="240" w:lineRule="auto"/>
              <w:jc w:val="left"/>
            </w:pPr>
            <w:r/>
            <w:r>
              <w:rPr>
                <w:sz w:val="15"/>
              </w:rPr>
              <w:t xml:space="preserve">  SVM</w:t>
            </w:r>
          </w:p>
        </w:tc>
        <w:tc>
          <w:tcPr>
            <w:tcW w:type="dxa" w:w="1674"/>
            <w:tcBorders>
              <w:bottom w:val="single" w:sz="6" w:space="0" w:color="000000"/>
            </w:tcBorders>
          </w:tcPr>
          <w:p>
            <w:pPr>
              <w:spacing w:after="0" w:line="240" w:lineRule="auto"/>
              <w:jc w:val="center"/>
            </w:pPr>
            <w:r/>
            <w:r>
              <w:rPr>
                <w:sz w:val="15"/>
              </w:rPr>
              <w:t>0.663†</w:t>
            </w:r>
          </w:p>
        </w:tc>
        <w:tc>
          <w:tcPr>
            <w:tcW w:type="dxa" w:w="1674"/>
            <w:tcBorders>
              <w:bottom w:val="single" w:sz="6" w:space="0" w:color="000000"/>
            </w:tcBorders>
          </w:tcPr>
          <w:p>
            <w:pPr>
              <w:spacing w:after="0" w:line="240" w:lineRule="auto"/>
              <w:jc w:val="center"/>
            </w:pPr>
            <w:r/>
            <w:r>
              <w:rPr>
                <w:sz w:val="15"/>
              </w:rPr>
              <w:t>0.359†</w:t>
            </w:r>
          </w:p>
        </w:tc>
        <w:tc>
          <w:tcPr>
            <w:tcW w:type="dxa" w:w="1674"/>
            <w:tcBorders>
              <w:bottom w:val="single" w:sz="6" w:space="0" w:color="000000"/>
            </w:tcBorders>
          </w:tcPr>
          <w:p>
            <w:pPr>
              <w:spacing w:after="0" w:line="240" w:lineRule="auto"/>
              <w:jc w:val="center"/>
            </w:pPr>
            <w:r/>
            <w:r>
              <w:rPr>
                <w:sz w:val="15"/>
              </w:rPr>
              <w:t>2.284†</w:t>
            </w:r>
          </w:p>
        </w:tc>
        <w:tc>
          <w:tcPr>
            <w:tcW w:type="dxa" w:w="1674"/>
            <w:tcBorders>
              <w:bottom w:val="single" w:sz="6" w:space="0" w:color="000000"/>
            </w:tcBorders>
          </w:tcPr>
          <w:p>
            <w:pPr>
              <w:spacing w:after="0" w:line="240" w:lineRule="auto"/>
              <w:jc w:val="center"/>
            </w:pPr>
            <w:r/>
            <w:r>
              <w:rPr>
                <w:sz w:val="15"/>
              </w:rPr>
              <w:t>0.534†</w:t>
            </w:r>
          </w:p>
        </w:tc>
      </w:tr>
    </w:tbl>
    <w:p>
      <w:pPr>
        <w:spacing w:after="0"/>
      </w:pPr>
      <w:r>
        <w:rPr>
          <w:sz w:val="14"/>
        </w:rPr>
        <w:t>Metric names are given in each italic endpoint row (pKa: R², MAE, RMSE, W1; CL/VDss/Fu: R², MAE, GMFE, W2F). Proposed and RF: 10-seed ensembles; XGB: seed-invariant (single fit); SVM: single deterministic fit. Bold: best value per endpoint and metric. †: paired-bootstrap 95% CI of the difference (proposed − baseline) excludes zero in favor of the proposed model; no mark: CI includes zero. No baseline was resolved as better than the proposed model (‡ unused). Full metric set and difference CIs: supplementary table [NEEDS: supplementary reference].</w:t>
      </w:r>
    </w:p>
    <w:p>
      <w:pPr>
        <w:spacing w:after="40"/>
      </w:pPr>
    </w:p>
    <w:p>
      <w:pPr>
        <w:jc w:val="center"/>
      </w:pPr>
      <w:r>
        <w:drawing>
          <wp:inline xmlns:a="http://schemas.openxmlformats.org/drawingml/2006/main" xmlns:pic="http://schemas.openxmlformats.org/drawingml/2006/picture">
            <wp:extent cx="5943600" cy="1711802"/>
            <wp:docPr id="4" name="Picture 4"/>
            <wp:cNvGraphicFramePr>
              <a:graphicFrameLocks noChangeAspect="1"/>
            </wp:cNvGraphicFramePr>
            <a:graphic>
              <a:graphicData uri="http://schemas.openxmlformats.org/drawingml/2006/picture">
                <pic:pic>
                  <pic:nvPicPr>
                    <pic:cNvPr id="0" name="fig4_baselines.png"/>
                    <pic:cNvPicPr/>
                  </pic:nvPicPr>
                  <pic:blipFill>
                    <a:blip r:embed="rId12"/>
                    <a:stretch>
                      <a:fillRect/>
                    </a:stretch>
                  </pic:blipFill>
                  <pic:spPr>
                    <a:xfrm>
                      <a:off x="0" y="0"/>
                      <a:ext cx="5943600" cy="1711802"/>
                    </a:xfrm>
                    <a:prstGeom prst="rect"/>
                  </pic:spPr>
                </pic:pic>
              </a:graphicData>
            </a:graphic>
          </wp:inline>
        </w:drawing>
      </w:r>
    </w:p>
    <w:p>
      <w:pPr>
        <w:jc w:val="both"/>
      </w:pPr>
      <w:r>
        <w:rPr>
          <w:sz w:val="16"/>
        </w:rPr>
        <w:t xml:space="preserve">Fig. 4. </w:t>
      </w:r>
      <w:r>
        <w:rPr>
          <w:sz w:val="16"/>
        </w:rPr>
        <w:t>Headline error metric of the proposed models and the untuned baselines on each official test set (MAE in pKa units for pKa; GMFE for CL, VDss and Fu; lower is better). Error bars: bootstrap 95% CI of each model's metric (B = 10 000). Proposed: GraphMPNN (pKa) or MFMN variant (CL, VDss, Fu).</w:t>
      </w:r>
    </w:p>
    <w:p>
      <w:pPr>
        <w:pStyle w:val="Heading2"/>
      </w:pPr>
      <w:r>
        <w:t>E. Ablation Study</w:t>
      </w:r>
    </w:p>
    <w:p>
      <w:pPr>
        <w:jc w:val="both"/>
      </w:pPr>
      <w:r>
        <w:rPr>
          <w:b w:val="0"/>
          <w:i w:val="0"/>
        </w:rPr>
        <w:t>Tables VI and VII report 10-seed ablations retrained under the same protocol, training split and test split as the final models. For CL and VDss (Table VI), the final model is compared with the base MFMN (no auxiliary supervision and no dynamic gating) and with the alternative MFMN variant that differs only in the gating mechanism (MFMN-InteractAux for CL; MFMN-DynGate for VDss); Fig. 5 shows the per-seed GMFE distributions. For pKa (Table VII), the xTB-derived features, the edge gating and the ionizable-site readout of the full GraphMPNN are removed one at a time; on pKa (basic), the variant without the site readout performed best and is used as the final model, so the full GraphMPNN and its other two ablations are compared against it. For Fu, the low-fu training-loss weight is removed. Variant–final differences use the same paired compound-level bootstrap as Section D.</w:t>
      </w:r>
    </w:p>
    <w:p>
      <w:pPr>
        <w:jc w:val="both"/>
      </w:pPr>
      <w:r>
        <w:rPr>
          <w:b w:val="0"/>
          <w:i w:val="0"/>
        </w:rPr>
        <w:t>On CL, the final MFMN-DynGate model has the best ensemble value on R², MAE, RMSE and GMFE (GMFE 2.018 vs. 2.036 for MFMN-InteractAux and 2.057 for the base MFMN) and ties MFMN-InteractAux on W2F (0.605). None of these differences is resolved by the paired bootstrap; all paired-difference CIs include zero. Across seeds, the SD of R² decreases from 0.076 (base) to 0.036 (InteractAux) and 0.020 (DynGate).</w:t>
      </w:r>
    </w:p>
    <w:p>
      <w:pPr>
        <w:jc w:val="both"/>
      </w:pPr>
      <w:r>
        <w:rPr>
          <w:b w:val="0"/>
          <w:i w:val="0"/>
        </w:rPr>
        <w:t>On VDss, the final MFMN-InteractAux model improves on the base MFMN on R², MAE, RMSE and GMFE with paired CIs excluding zero (GMFE 1.764 vs. 1.872; difference CI [-0.174, -0.047]); the W2F difference is not resolved. MFMN-InteractAux and MFMN-DynGate are not resolved on any metric (GMFE 1.764 vs. 1.771); MFMN-DynGate has the higher ensemble W2F (0.695 vs. 0.684) and a lower seed-to-seed SD of R² (0.009 vs. 0.029).</w:t>
      </w:r>
    </w:p>
    <w:p>
      <w:pPr>
        <w:keepNext/>
        <w:jc w:val="center"/>
      </w:pPr>
      <w:r>
        <w:rPr>
          <w:smallCaps/>
          <w:sz w:val="16"/>
        </w:rPr>
        <w:t>Table VI</w:t>
        <w:br/>
      </w:r>
      <w:r>
        <w:rPr>
          <w:sz w:val="16"/>
        </w:rPr>
        <w:t>Ablation of the MFMN family on CL and VDss (10 seeds, official test splits)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871"/>
            <w:tcBorders>
              <w:top w:val="single" w:sz="6" w:space="0" w:color="000000"/>
              <w:bottom w:val="single" w:sz="6" w:space="0" w:color="000000"/>
            </w:tcBorders>
          </w:tcPr>
          <w:p>
            <w:pPr>
              <w:spacing w:after="0" w:line="240" w:lineRule="auto"/>
              <w:jc w:val="left"/>
            </w:pPr>
            <w:r/>
            <w:r>
              <w:rPr>
                <w:b/>
                <w:sz w:val="15"/>
              </w:rPr>
              <w:t>Endpoint</w:t>
            </w:r>
          </w:p>
        </w:tc>
        <w:tc>
          <w:tcPr>
            <w:tcW w:type="dxa" w:w="2104"/>
            <w:tcBorders>
              <w:top w:val="single" w:sz="6" w:space="0" w:color="000000"/>
              <w:bottom w:val="single" w:sz="6" w:space="0" w:color="000000"/>
            </w:tcBorders>
          </w:tcPr>
          <w:p>
            <w:pPr>
              <w:spacing w:after="0" w:line="240" w:lineRule="auto"/>
              <w:jc w:val="center"/>
            </w:pPr>
            <w:r/>
            <w:r>
              <w:rPr>
                <w:b/>
                <w:sz w:val="15"/>
              </w:rPr>
              <w:t>Variant</w:t>
            </w:r>
          </w:p>
        </w:tc>
        <w:tc>
          <w:tcPr>
            <w:tcW w:type="dxa" w:w="1596"/>
            <w:tcBorders>
              <w:top w:val="single" w:sz="6" w:space="0" w:color="000000"/>
              <w:bottom w:val="single" w:sz="6" w:space="0" w:color="000000"/>
            </w:tcBorders>
          </w:tcPr>
          <w:p>
            <w:pPr>
              <w:spacing w:after="0" w:line="240" w:lineRule="auto"/>
              <w:jc w:val="center"/>
            </w:pPr>
            <w:r/>
            <w:r>
              <w:rPr>
                <w:b/>
                <w:sz w:val="15"/>
              </w:rPr>
              <w:t>R²</w:t>
            </w:r>
          </w:p>
        </w:tc>
        <w:tc>
          <w:tcPr>
            <w:tcW w:type="dxa" w:w="1596"/>
            <w:tcBorders>
              <w:top w:val="single" w:sz="6" w:space="0" w:color="000000"/>
              <w:bottom w:val="single" w:sz="6" w:space="0" w:color="000000"/>
            </w:tcBorders>
          </w:tcPr>
          <w:p>
            <w:pPr>
              <w:spacing w:after="0" w:line="240" w:lineRule="auto"/>
              <w:jc w:val="center"/>
            </w:pPr>
            <w:r/>
            <w:r>
              <w:rPr>
                <w:b/>
                <w:sz w:val="15"/>
              </w:rPr>
              <w:t>MAE</w:t>
            </w:r>
          </w:p>
        </w:tc>
        <w:tc>
          <w:tcPr>
            <w:tcW w:type="dxa" w:w="1596"/>
            <w:tcBorders>
              <w:top w:val="single" w:sz="6" w:space="0" w:color="000000"/>
              <w:bottom w:val="single" w:sz="6" w:space="0" w:color="000000"/>
            </w:tcBorders>
          </w:tcPr>
          <w:p>
            <w:pPr>
              <w:spacing w:after="0" w:line="240" w:lineRule="auto"/>
              <w:jc w:val="center"/>
            </w:pPr>
            <w:r/>
            <w:r>
              <w:rPr>
                <w:b/>
                <w:sz w:val="15"/>
              </w:rPr>
              <w:t>GMFE</w:t>
            </w:r>
          </w:p>
        </w:tc>
        <w:tc>
          <w:tcPr>
            <w:tcW w:type="dxa" w:w="1596"/>
            <w:tcBorders>
              <w:top w:val="single" w:sz="6" w:space="0" w:color="000000"/>
              <w:bottom w:val="single" w:sz="6" w:space="0" w:color="000000"/>
            </w:tcBorders>
          </w:tcPr>
          <w:p>
            <w:pPr>
              <w:spacing w:after="0" w:line="240" w:lineRule="auto"/>
              <w:jc w:val="center"/>
            </w:pPr>
            <w:r/>
            <w:r>
              <w:rPr>
                <w:b/>
                <w:sz w:val="15"/>
              </w:rPr>
              <w:t>W2F</w:t>
            </w:r>
          </w:p>
        </w:tc>
      </w:tr>
      <w:tr>
        <w:tc>
          <w:tcPr>
            <w:tcW w:type="dxa" w:w="871"/>
          </w:tcPr>
          <w:p>
            <w:pPr>
              <w:spacing w:after="0" w:line="240" w:lineRule="auto"/>
              <w:jc w:val="left"/>
            </w:pPr>
            <w:r/>
            <w:r>
              <w:rPr>
                <w:sz w:val="15"/>
              </w:rPr>
              <w:t>CL</w:t>
            </w:r>
          </w:p>
        </w:tc>
        <w:tc>
          <w:tcPr>
            <w:tcW w:type="dxa" w:w="2104"/>
          </w:tcPr>
          <w:p>
            <w:pPr>
              <w:spacing w:after="0" w:line="240" w:lineRule="auto"/>
              <w:jc w:val="center"/>
            </w:pPr>
            <w:r/>
            <w:r>
              <w:rPr>
                <w:sz w:val="15"/>
              </w:rPr>
              <w:t>MFMN (base)</w:t>
            </w:r>
          </w:p>
        </w:tc>
        <w:tc>
          <w:tcPr>
            <w:tcW w:type="dxa" w:w="1596"/>
          </w:tcPr>
          <w:p>
            <w:pPr>
              <w:spacing w:after="0" w:line="240" w:lineRule="auto"/>
              <w:jc w:val="center"/>
            </w:pPr>
            <w:r/>
            <w:r>
              <w:rPr>
                <w:sz w:val="15"/>
              </w:rPr>
              <w:t>0.468 (0.364 ± 0.076)</w:t>
            </w:r>
          </w:p>
        </w:tc>
        <w:tc>
          <w:tcPr>
            <w:tcW w:type="dxa" w:w="1596"/>
          </w:tcPr>
          <w:p>
            <w:pPr>
              <w:spacing w:after="0" w:line="240" w:lineRule="auto"/>
              <w:jc w:val="center"/>
            </w:pPr>
            <w:r/>
            <w:r>
              <w:rPr>
                <w:sz w:val="15"/>
              </w:rPr>
              <w:t>0.313 (0.348 ± 0.022)</w:t>
            </w:r>
          </w:p>
        </w:tc>
        <w:tc>
          <w:tcPr>
            <w:tcW w:type="dxa" w:w="1596"/>
          </w:tcPr>
          <w:p>
            <w:pPr>
              <w:spacing w:after="0" w:line="240" w:lineRule="auto"/>
              <w:jc w:val="center"/>
            </w:pPr>
            <w:r/>
            <w:r>
              <w:rPr>
                <w:sz w:val="15"/>
              </w:rPr>
              <w:t>2.057 (2.230 ± 0.114)</w:t>
            </w:r>
          </w:p>
        </w:tc>
        <w:tc>
          <w:tcPr>
            <w:tcW w:type="dxa" w:w="1596"/>
          </w:tcPr>
          <w:p>
            <w:pPr>
              <w:spacing w:after="0" w:line="240" w:lineRule="auto"/>
              <w:jc w:val="center"/>
            </w:pPr>
            <w:r/>
            <w:r>
              <w:rPr>
                <w:sz w:val="15"/>
              </w:rPr>
              <w:t>0.571 (0.561 ± 0.034)</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MFMN-InteractAux</w:t>
            </w:r>
          </w:p>
        </w:tc>
        <w:tc>
          <w:tcPr>
            <w:tcW w:type="dxa" w:w="1596"/>
          </w:tcPr>
          <w:p>
            <w:pPr>
              <w:spacing w:after="0" w:line="240" w:lineRule="auto"/>
              <w:jc w:val="center"/>
            </w:pPr>
            <w:r/>
            <w:r>
              <w:rPr>
                <w:sz w:val="15"/>
              </w:rPr>
              <w:t>0.490 (0.426 ± 0.036)</w:t>
            </w:r>
          </w:p>
        </w:tc>
        <w:tc>
          <w:tcPr>
            <w:tcW w:type="dxa" w:w="1596"/>
          </w:tcPr>
          <w:p>
            <w:pPr>
              <w:spacing w:after="0" w:line="240" w:lineRule="auto"/>
              <w:jc w:val="center"/>
            </w:pPr>
            <w:r/>
            <w:r>
              <w:rPr>
                <w:sz w:val="15"/>
              </w:rPr>
              <w:t>0.309 (0.329 ± 0.013)</w:t>
            </w:r>
          </w:p>
        </w:tc>
        <w:tc>
          <w:tcPr>
            <w:tcW w:type="dxa" w:w="1596"/>
          </w:tcPr>
          <w:p>
            <w:pPr>
              <w:spacing w:after="0" w:line="240" w:lineRule="auto"/>
              <w:jc w:val="center"/>
            </w:pPr>
            <w:r/>
            <w:r>
              <w:rPr>
                <w:sz w:val="15"/>
              </w:rPr>
              <w:t>2.036 (2.135 ± 0.065)</w:t>
            </w:r>
          </w:p>
        </w:tc>
        <w:tc>
          <w:tcPr>
            <w:tcW w:type="dxa" w:w="1596"/>
          </w:tcPr>
          <w:p>
            <w:pPr>
              <w:spacing w:after="0" w:line="240" w:lineRule="auto"/>
              <w:jc w:val="center"/>
            </w:pPr>
            <w:r/>
            <w:r>
              <w:rPr>
                <w:b/>
                <w:sz w:val="15"/>
              </w:rPr>
              <w:t>0.605 (0.591 ± 0.023)</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MFMN-DynGate (final)</w:t>
            </w:r>
          </w:p>
        </w:tc>
        <w:tc>
          <w:tcPr>
            <w:tcW w:type="dxa" w:w="1596"/>
          </w:tcPr>
          <w:p>
            <w:pPr>
              <w:spacing w:after="0" w:line="240" w:lineRule="auto"/>
              <w:jc w:val="center"/>
            </w:pPr>
            <w:r/>
            <w:r>
              <w:rPr>
                <w:b/>
                <w:sz w:val="15"/>
              </w:rPr>
              <w:t>0.497 (0.441 ± 0.020)</w:t>
            </w:r>
          </w:p>
        </w:tc>
        <w:tc>
          <w:tcPr>
            <w:tcW w:type="dxa" w:w="1596"/>
          </w:tcPr>
          <w:p>
            <w:pPr>
              <w:spacing w:after="0" w:line="240" w:lineRule="auto"/>
              <w:jc w:val="center"/>
            </w:pPr>
            <w:r/>
            <w:r>
              <w:rPr>
                <w:b/>
                <w:sz w:val="15"/>
              </w:rPr>
              <w:t>0.305 (0.324 ± 0.007)</w:t>
            </w:r>
          </w:p>
        </w:tc>
        <w:tc>
          <w:tcPr>
            <w:tcW w:type="dxa" w:w="1596"/>
          </w:tcPr>
          <w:p>
            <w:pPr>
              <w:spacing w:after="0" w:line="240" w:lineRule="auto"/>
              <w:jc w:val="center"/>
            </w:pPr>
            <w:r/>
            <w:r>
              <w:rPr>
                <w:b/>
                <w:sz w:val="15"/>
              </w:rPr>
              <w:t>2.018 (2.109 ± 0.036)</w:t>
            </w:r>
          </w:p>
        </w:tc>
        <w:tc>
          <w:tcPr>
            <w:tcW w:type="dxa" w:w="1596"/>
          </w:tcPr>
          <w:p>
            <w:pPr>
              <w:spacing w:after="0" w:line="240" w:lineRule="auto"/>
              <w:jc w:val="center"/>
            </w:pPr>
            <w:r/>
            <w:r>
              <w:rPr>
                <w:b/>
                <w:sz w:val="15"/>
              </w:rPr>
              <w:t>0.605 (0.579 ± 0.018)</w:t>
            </w:r>
          </w:p>
        </w:tc>
      </w:tr>
      <w:tr>
        <w:tc>
          <w:tcPr>
            <w:tcW w:type="dxa" w:w="871"/>
          </w:tcPr>
          <w:p>
            <w:pPr>
              <w:spacing w:after="0" w:line="240" w:lineRule="auto"/>
              <w:jc w:val="left"/>
            </w:pPr>
            <w:r/>
            <w:r>
              <w:rPr>
                <w:sz w:val="15"/>
              </w:rPr>
              <w:t>VDss</w:t>
            </w:r>
          </w:p>
        </w:tc>
        <w:tc>
          <w:tcPr>
            <w:tcW w:type="dxa" w:w="2104"/>
          </w:tcPr>
          <w:p>
            <w:pPr>
              <w:spacing w:after="0" w:line="240" w:lineRule="auto"/>
              <w:jc w:val="center"/>
            </w:pPr>
            <w:r/>
            <w:r>
              <w:rPr>
                <w:sz w:val="15"/>
              </w:rPr>
              <w:t>MFMN (base)</w:t>
            </w:r>
          </w:p>
        </w:tc>
        <w:tc>
          <w:tcPr>
            <w:tcW w:type="dxa" w:w="1596"/>
          </w:tcPr>
          <w:p>
            <w:pPr>
              <w:spacing w:after="0" w:line="240" w:lineRule="auto"/>
              <w:jc w:val="center"/>
            </w:pPr>
            <w:r/>
            <w:r>
              <w:rPr>
                <w:sz w:val="15"/>
              </w:rPr>
              <w:t>0.571† (0.528 ± 0.029)</w:t>
            </w:r>
          </w:p>
        </w:tc>
        <w:tc>
          <w:tcPr>
            <w:tcW w:type="dxa" w:w="1596"/>
          </w:tcPr>
          <w:p>
            <w:pPr>
              <w:spacing w:after="0" w:line="240" w:lineRule="auto"/>
              <w:jc w:val="center"/>
            </w:pPr>
            <w:r/>
            <w:r>
              <w:rPr>
                <w:sz w:val="15"/>
              </w:rPr>
              <w:t>0.272† (0.287 ± 0.009)</w:t>
            </w:r>
          </w:p>
        </w:tc>
        <w:tc>
          <w:tcPr>
            <w:tcW w:type="dxa" w:w="1596"/>
          </w:tcPr>
          <w:p>
            <w:pPr>
              <w:spacing w:after="0" w:line="240" w:lineRule="auto"/>
              <w:jc w:val="center"/>
            </w:pPr>
            <w:r/>
            <w:r>
              <w:rPr>
                <w:sz w:val="15"/>
              </w:rPr>
              <w:t>1.872† (1.935 ± 0.040)</w:t>
            </w:r>
          </w:p>
        </w:tc>
        <w:tc>
          <w:tcPr>
            <w:tcW w:type="dxa" w:w="1596"/>
          </w:tcPr>
          <w:p>
            <w:pPr>
              <w:spacing w:after="0" w:line="240" w:lineRule="auto"/>
              <w:jc w:val="center"/>
            </w:pPr>
            <w:r/>
            <w:r>
              <w:rPr>
                <w:sz w:val="15"/>
              </w:rPr>
              <w:t>0.655 (0.632 ± 0.022)</w:t>
            </w:r>
          </w:p>
        </w:tc>
      </w:tr>
      <w:tr>
        <w:tc>
          <w:tcPr>
            <w:tcW w:type="dxa" w:w="871"/>
          </w:tcPr>
          <w:p>
            <w:pPr>
              <w:spacing w:after="0" w:line="240" w:lineRule="auto"/>
              <w:jc w:val="left"/>
            </w:pPr>
            <w:r/>
            <w:r>
              <w:rPr>
                <w:sz w:val="15"/>
              </w:rPr>
            </w:r>
          </w:p>
        </w:tc>
        <w:tc>
          <w:tcPr>
            <w:tcW w:type="dxa" w:w="2104"/>
          </w:tcPr>
          <w:p>
            <w:pPr>
              <w:spacing w:after="0" w:line="240" w:lineRule="auto"/>
              <w:jc w:val="center"/>
            </w:pPr>
            <w:r/>
            <w:r>
              <w:rPr>
                <w:sz w:val="15"/>
              </w:rPr>
              <w:t>MFMN-DynGate</w:t>
            </w:r>
          </w:p>
        </w:tc>
        <w:tc>
          <w:tcPr>
            <w:tcW w:type="dxa" w:w="1596"/>
          </w:tcPr>
          <w:p>
            <w:pPr>
              <w:spacing w:after="0" w:line="240" w:lineRule="auto"/>
              <w:jc w:val="center"/>
            </w:pPr>
            <w:r/>
            <w:r>
              <w:rPr>
                <w:sz w:val="15"/>
              </w:rPr>
              <w:t>0.647 (0.609 ± 0.009)</w:t>
            </w:r>
          </w:p>
        </w:tc>
        <w:tc>
          <w:tcPr>
            <w:tcW w:type="dxa" w:w="1596"/>
          </w:tcPr>
          <w:p>
            <w:pPr>
              <w:spacing w:after="0" w:line="240" w:lineRule="auto"/>
              <w:jc w:val="center"/>
            </w:pPr>
            <w:r/>
            <w:r>
              <w:rPr>
                <w:sz w:val="15"/>
              </w:rPr>
              <w:t>0.248 (0.260 ± 0.004)</w:t>
            </w:r>
          </w:p>
        </w:tc>
        <w:tc>
          <w:tcPr>
            <w:tcW w:type="dxa" w:w="1596"/>
          </w:tcPr>
          <w:p>
            <w:pPr>
              <w:spacing w:after="0" w:line="240" w:lineRule="auto"/>
              <w:jc w:val="center"/>
            </w:pPr>
            <w:r/>
            <w:r>
              <w:rPr>
                <w:sz w:val="15"/>
              </w:rPr>
              <w:t>1.771 (1.821 ± 0.017)</w:t>
            </w:r>
          </w:p>
        </w:tc>
        <w:tc>
          <w:tcPr>
            <w:tcW w:type="dxa" w:w="1596"/>
          </w:tcPr>
          <w:p>
            <w:pPr>
              <w:spacing w:after="0" w:line="240" w:lineRule="auto"/>
              <w:jc w:val="center"/>
            </w:pPr>
            <w:r/>
            <w:r>
              <w:rPr>
                <w:b/>
                <w:sz w:val="15"/>
              </w:rPr>
              <w:t>0.695 (0.680 ± 0.010)</w:t>
            </w:r>
          </w:p>
        </w:tc>
      </w:tr>
      <w:tr>
        <w:tc>
          <w:tcPr>
            <w:tcW w:type="dxa" w:w="871"/>
            <w:tcBorders>
              <w:bottom w:val="single" w:sz="6" w:space="0" w:color="000000"/>
            </w:tcBorders>
          </w:tcPr>
          <w:p>
            <w:pPr>
              <w:spacing w:after="0" w:line="240" w:lineRule="auto"/>
              <w:jc w:val="left"/>
            </w:pPr>
            <w:r/>
            <w:r>
              <w:rPr>
                <w:sz w:val="15"/>
              </w:rPr>
            </w:r>
          </w:p>
        </w:tc>
        <w:tc>
          <w:tcPr>
            <w:tcW w:type="dxa" w:w="2104"/>
            <w:tcBorders>
              <w:bottom w:val="single" w:sz="6" w:space="0" w:color="000000"/>
            </w:tcBorders>
          </w:tcPr>
          <w:p>
            <w:pPr>
              <w:spacing w:after="0" w:line="240" w:lineRule="auto"/>
              <w:jc w:val="center"/>
            </w:pPr>
            <w:r/>
            <w:r>
              <w:rPr>
                <w:sz w:val="15"/>
              </w:rPr>
              <w:t>MFMN-InteractAux (final)</w:t>
            </w:r>
          </w:p>
        </w:tc>
        <w:tc>
          <w:tcPr>
            <w:tcW w:type="dxa" w:w="1596"/>
            <w:tcBorders>
              <w:bottom w:val="single" w:sz="6" w:space="0" w:color="000000"/>
            </w:tcBorders>
          </w:tcPr>
          <w:p>
            <w:pPr>
              <w:spacing w:after="0" w:line="240" w:lineRule="auto"/>
              <w:jc w:val="center"/>
            </w:pPr>
            <w:r/>
            <w:r>
              <w:rPr>
                <w:b/>
                <w:sz w:val="15"/>
              </w:rPr>
              <w:t>0.648 (0.609 ± 0.029)</w:t>
            </w:r>
          </w:p>
        </w:tc>
        <w:tc>
          <w:tcPr>
            <w:tcW w:type="dxa" w:w="1596"/>
            <w:tcBorders>
              <w:bottom w:val="single" w:sz="6" w:space="0" w:color="000000"/>
            </w:tcBorders>
          </w:tcPr>
          <w:p>
            <w:pPr>
              <w:spacing w:after="0" w:line="240" w:lineRule="auto"/>
              <w:jc w:val="center"/>
            </w:pPr>
            <w:r/>
            <w:r>
              <w:rPr>
                <w:b/>
                <w:sz w:val="15"/>
              </w:rPr>
              <w:t>0.247 (0.259 ± 0.012)</w:t>
            </w:r>
          </w:p>
        </w:tc>
        <w:tc>
          <w:tcPr>
            <w:tcW w:type="dxa" w:w="1596"/>
            <w:tcBorders>
              <w:bottom w:val="single" w:sz="6" w:space="0" w:color="000000"/>
            </w:tcBorders>
          </w:tcPr>
          <w:p>
            <w:pPr>
              <w:spacing w:after="0" w:line="240" w:lineRule="auto"/>
              <w:jc w:val="center"/>
            </w:pPr>
            <w:r/>
            <w:r>
              <w:rPr>
                <w:b/>
                <w:sz w:val="15"/>
              </w:rPr>
              <w:t>1.764 (1.814 ± 0.048)</w:t>
            </w:r>
          </w:p>
        </w:tc>
        <w:tc>
          <w:tcPr>
            <w:tcW w:type="dxa" w:w="1596"/>
            <w:tcBorders>
              <w:bottom w:val="single" w:sz="6" w:space="0" w:color="000000"/>
            </w:tcBorders>
          </w:tcPr>
          <w:p>
            <w:pPr>
              <w:spacing w:after="0" w:line="240" w:lineRule="auto"/>
              <w:jc w:val="center"/>
            </w:pPr>
            <w:r/>
            <w:r>
              <w:rPr>
                <w:sz w:val="15"/>
              </w:rPr>
              <w:t>0.684 (0.670 ± 0.028)</w:t>
            </w:r>
          </w:p>
        </w:tc>
      </w:tr>
    </w:tbl>
    <w:p>
      <w:pPr>
        <w:spacing w:after="0"/>
      </w:pPr>
      <w:r>
        <w:rPr>
          <w:sz w:val="14"/>
        </w:rPr>
        <w:t>Entries: 10-seed ensemble (seed mean ± SD). Bold: best ensemble value per endpoint and metric (ties both bold). †: paired-bootstrap 95% CI of the difference (final − variant) excludes zero in favor of the final model; no mark: CI includes zero; no variant was resolved as better than the final model. The final-model rows are the retrained finals of Table II; the ablation variants were compared against the same test rows.</w:t>
      </w:r>
    </w:p>
    <w:p>
      <w:pPr>
        <w:spacing w:after="40"/>
      </w:pPr>
    </w:p>
    <w:p>
      <w:pPr>
        <w:jc w:val="center"/>
      </w:pPr>
      <w:r>
        <w:drawing>
          <wp:inline xmlns:a="http://schemas.openxmlformats.org/drawingml/2006/main" xmlns:pic="http://schemas.openxmlformats.org/drawingml/2006/picture">
            <wp:extent cx="3108960" cy="1866579"/>
            <wp:docPr id="5" name="Picture 5"/>
            <wp:cNvGraphicFramePr>
              <a:graphicFrameLocks noChangeAspect="1"/>
            </wp:cNvGraphicFramePr>
            <a:graphic>
              <a:graphicData uri="http://schemas.openxmlformats.org/drawingml/2006/picture">
                <pic:pic>
                  <pic:nvPicPr>
                    <pic:cNvPr id="0" name="fig5_ablation.png"/>
                    <pic:cNvPicPr/>
                  </pic:nvPicPr>
                  <pic:blipFill>
                    <a:blip r:embed="rId13"/>
                    <a:stretch>
                      <a:fillRect/>
                    </a:stretch>
                  </pic:blipFill>
                  <pic:spPr>
                    <a:xfrm>
                      <a:off x="0" y="0"/>
                      <a:ext cx="3108960" cy="1866579"/>
                    </a:xfrm>
                    <a:prstGeom prst="rect"/>
                  </pic:spPr>
                </pic:pic>
              </a:graphicData>
            </a:graphic>
          </wp:inline>
        </w:drawing>
      </w:r>
    </w:p>
    <w:p>
      <w:pPr>
        <w:jc w:val="both"/>
      </w:pPr>
      <w:r>
        <w:rPr>
          <w:sz w:val="16"/>
        </w:rPr>
        <w:t xml:space="preserve">Fig. 5. </w:t>
      </w:r>
      <w:r>
        <w:rPr>
          <w:sz w:val="16"/>
        </w:rPr>
        <w:t>Per-seed test GMFE (dots, n = 10 per variant) and 10-seed ensemble GMFE (horizontal bar) for the MFMN ablation on CL and VDss. Lower is better.</w:t>
      </w:r>
    </w:p>
    <w:p>
      <w:pPr>
        <w:jc w:val="both"/>
      </w:pPr>
      <w:r>
        <w:rPr>
          <w:b w:val="0"/>
          <w:i w:val="0"/>
        </w:rPr>
        <w:t>On pKa (acidic), none of the three ablations changes performance measurably: every ensemble metric is within 0.014 of the final model (R² 0.9689 for the final model vs. 0.9677–0.9691 for the variants), and all paired-difference CIs include zero. The full GraphMPNN has the lowest MAE (0.424) and is retained as the final model; the variants have marginally better point estimates on some other metrics (e.g., RMSE 0.754 without edge gating vs. 0.757), by less than one seed-to-seed SD.</w:t>
      </w:r>
    </w:p>
    <w:p>
      <w:pPr>
        <w:jc w:val="both"/>
      </w:pPr>
      <w:r>
        <w:rPr>
          <w:b w:val="0"/>
          <w:i w:val="0"/>
        </w:rPr>
        <w:t>On pKa (basic), removing the ionizable-site readout gives the best model on every metric: R² 0.950, MAE 0.406, RMSE 0.654 and W1 0.907, compared with 0.948, 0.416, 0.670 and 0.899 for the full GraphMPNN; it is therefore used as the final pKa (basic) model. The improvement over the full model is consistent across seeds (higher R² for 9 of the 10 seeds when paired by seed index) but is not resolved by the paired bootstrap (MAE difference CI [-0.0203, 0.0001]). Relative to the final model, removing the xTB-derived features from the full GraphMPNN degrades every metric with all paired-difference CIs excluding zero (RMSE 0.703 vs. 0.654), and the full model without edge gating is worse on R² and RMSE with CIs excluding zero (RMSE 0.680). Removing the xTB-derived features from the final model itself (no site readout, no xTB) gives the same result: R² 0.945, MAE 0.418 and RMSE 0.688, all worse than the final model with every paired-difference CI excluding zero (MAE difference CI [-0.0227, -0.0013]).</w:t>
      </w:r>
    </w:p>
    <w:p>
      <w:pPr>
        <w:jc w:val="both"/>
      </w:pPr>
      <w:r>
        <w:rPr>
          <w:b w:val="0"/>
          <w:i w:val="0"/>
        </w:rPr>
        <w:t>On Fu, removing the 1.25× low-fu loss weight leaves performance essentially unchanged: GMFE 2.091 vs. 2.086, R² 0.711 vs. 0.712 and W2F 0.602 vs. 0.613 for the unweighted and final models, respectively; all paired-difference CIs include zero. The final model has the better point estimate on every metric, but the differences are smaller than one seed-to-seed SD.</w:t>
      </w:r>
    </w:p>
    <w:p>
      <w:pPr>
        <w:keepNext/>
        <w:jc w:val="center"/>
      </w:pPr>
      <w:r>
        <w:rPr>
          <w:smallCaps/>
          <w:sz w:val="16"/>
        </w:rPr>
        <w:t>Table VII</w:t>
        <w:br/>
      </w:r>
      <w:r>
        <w:rPr>
          <w:sz w:val="16"/>
        </w:rPr>
        <w:t>Ablation of GraphMPNN on pKa (10 seeds, official test splits)</w:t>
      </w:r>
    </w:p>
    <w:tbl>
      <w:tblPr>
        <w:tblW w:type="auto" w:w="0"/>
        <w:jc w:val="center"/>
        <w:tblLayout w:type="fixed"/>
        <w:tblLook w:firstColumn="1" w:firstRow="1" w:lastColumn="0" w:lastRow="0" w:noHBand="0" w:noVBand="1" w:val="04A0"/>
        <w:tblLayout w:type="fixed"/>
        <w:tblW w:w="9360" w:type="dxa"/>
      </w:tblPr>
      <w:tblGrid>
        <w:gridCol w:w="1560"/>
        <w:gridCol w:w="1560"/>
        <w:gridCol w:w="1560"/>
        <w:gridCol w:w="1560"/>
        <w:gridCol w:w="1560"/>
        <w:gridCol w:w="1560"/>
      </w:tblGrid>
      <w:tr>
        <w:tc>
          <w:tcPr>
            <w:tcW w:type="dxa" w:w="1220"/>
            <w:tcBorders>
              <w:top w:val="single" w:sz="6" w:space="0" w:color="000000"/>
              <w:bottom w:val="single" w:sz="6" w:space="0" w:color="000000"/>
            </w:tcBorders>
          </w:tcPr>
          <w:p>
            <w:pPr>
              <w:spacing w:after="0" w:line="240" w:lineRule="auto"/>
              <w:jc w:val="left"/>
            </w:pPr>
            <w:r/>
            <w:r>
              <w:rPr>
                <w:b/>
                <w:sz w:val="15"/>
              </w:rPr>
              <w:t>Endpoint</w:t>
            </w:r>
          </w:p>
        </w:tc>
        <w:tc>
          <w:tcPr>
            <w:tcW w:type="dxa" w:w="1938"/>
            <w:tcBorders>
              <w:top w:val="single" w:sz="6" w:space="0" w:color="000000"/>
              <w:bottom w:val="single" w:sz="6" w:space="0" w:color="000000"/>
            </w:tcBorders>
          </w:tcPr>
          <w:p>
            <w:pPr>
              <w:spacing w:after="0" w:line="240" w:lineRule="auto"/>
              <w:jc w:val="center"/>
            </w:pPr>
            <w:r/>
            <w:r>
              <w:rPr>
                <w:b/>
                <w:sz w:val="15"/>
              </w:rPr>
              <w:t>Variant</w:t>
            </w:r>
          </w:p>
        </w:tc>
        <w:tc>
          <w:tcPr>
            <w:tcW w:type="dxa" w:w="1550"/>
            <w:tcBorders>
              <w:top w:val="single" w:sz="6" w:space="0" w:color="000000"/>
              <w:bottom w:val="single" w:sz="6" w:space="0" w:color="000000"/>
            </w:tcBorders>
          </w:tcPr>
          <w:p>
            <w:pPr>
              <w:spacing w:after="0" w:line="240" w:lineRule="auto"/>
              <w:jc w:val="center"/>
            </w:pPr>
            <w:r/>
            <w:r>
              <w:rPr>
                <w:b/>
                <w:sz w:val="15"/>
              </w:rPr>
              <w:t>R²</w:t>
            </w:r>
          </w:p>
        </w:tc>
        <w:tc>
          <w:tcPr>
            <w:tcW w:type="dxa" w:w="1550"/>
            <w:tcBorders>
              <w:top w:val="single" w:sz="6" w:space="0" w:color="000000"/>
              <w:bottom w:val="single" w:sz="6" w:space="0" w:color="000000"/>
            </w:tcBorders>
          </w:tcPr>
          <w:p>
            <w:pPr>
              <w:spacing w:after="0" w:line="240" w:lineRule="auto"/>
              <w:jc w:val="center"/>
            </w:pPr>
            <w:r/>
            <w:r>
              <w:rPr>
                <w:b/>
                <w:sz w:val="15"/>
              </w:rPr>
              <w:t>MAE</w:t>
            </w:r>
          </w:p>
        </w:tc>
        <w:tc>
          <w:tcPr>
            <w:tcW w:type="dxa" w:w="1550"/>
            <w:tcBorders>
              <w:top w:val="single" w:sz="6" w:space="0" w:color="000000"/>
              <w:bottom w:val="single" w:sz="6" w:space="0" w:color="000000"/>
            </w:tcBorders>
          </w:tcPr>
          <w:p>
            <w:pPr>
              <w:spacing w:after="0" w:line="240" w:lineRule="auto"/>
              <w:jc w:val="center"/>
            </w:pPr>
            <w:r/>
            <w:r>
              <w:rPr>
                <w:b/>
                <w:sz w:val="15"/>
              </w:rPr>
              <w:t>RMSE</w:t>
            </w:r>
          </w:p>
        </w:tc>
        <w:tc>
          <w:tcPr>
            <w:tcW w:type="dxa" w:w="1550"/>
            <w:tcBorders>
              <w:top w:val="single" w:sz="6" w:space="0" w:color="000000"/>
              <w:bottom w:val="single" w:sz="6" w:space="0" w:color="000000"/>
            </w:tcBorders>
          </w:tcPr>
          <w:p>
            <w:pPr>
              <w:spacing w:after="0" w:line="240" w:lineRule="auto"/>
              <w:jc w:val="center"/>
            </w:pPr>
            <w:r/>
            <w:r>
              <w:rPr>
                <w:b/>
                <w:sz w:val="15"/>
              </w:rPr>
              <w:t>W1</w:t>
            </w:r>
          </w:p>
        </w:tc>
      </w:tr>
      <w:tr>
        <w:tc>
          <w:tcPr>
            <w:tcW w:type="dxa" w:w="1220"/>
          </w:tcPr>
          <w:p>
            <w:pPr>
              <w:spacing w:after="0" w:line="240" w:lineRule="auto"/>
              <w:jc w:val="left"/>
            </w:pPr>
            <w:r/>
            <w:r>
              <w:rPr>
                <w:sz w:val="15"/>
              </w:rPr>
              <w:t>pKa (acidic)</w:t>
            </w:r>
          </w:p>
        </w:tc>
        <w:tc>
          <w:tcPr>
            <w:tcW w:type="dxa" w:w="1938"/>
          </w:tcPr>
          <w:p>
            <w:pPr>
              <w:spacing w:after="0" w:line="240" w:lineRule="auto"/>
              <w:jc w:val="center"/>
            </w:pPr>
            <w:r/>
            <w:r>
              <w:rPr>
                <w:sz w:val="15"/>
              </w:rPr>
              <w:t>w/o xTB features</w:t>
            </w:r>
          </w:p>
        </w:tc>
        <w:tc>
          <w:tcPr>
            <w:tcW w:type="dxa" w:w="1550"/>
          </w:tcPr>
          <w:p>
            <w:pPr>
              <w:spacing w:after="0" w:line="240" w:lineRule="auto"/>
              <w:jc w:val="center"/>
            </w:pPr>
            <w:r/>
            <w:r>
              <w:rPr>
                <w:sz w:val="15"/>
              </w:rPr>
              <w:t>0.969 (0.963 ± 0.002)</w:t>
            </w:r>
          </w:p>
        </w:tc>
        <w:tc>
          <w:tcPr>
            <w:tcW w:type="dxa" w:w="1550"/>
          </w:tcPr>
          <w:p>
            <w:pPr>
              <w:spacing w:after="0" w:line="240" w:lineRule="auto"/>
              <w:jc w:val="center"/>
            </w:pPr>
            <w:r/>
            <w:r>
              <w:rPr>
                <w:sz w:val="15"/>
              </w:rPr>
              <w:t>0.426 (0.488 ± 0.017)</w:t>
            </w:r>
          </w:p>
        </w:tc>
        <w:tc>
          <w:tcPr>
            <w:tcW w:type="dxa" w:w="1550"/>
          </w:tcPr>
          <w:p>
            <w:pPr>
              <w:spacing w:after="0" w:line="240" w:lineRule="auto"/>
              <w:jc w:val="center"/>
            </w:pPr>
            <w:r/>
            <w:r>
              <w:rPr>
                <w:sz w:val="15"/>
              </w:rPr>
              <w:t>0.759 (0.822 ± 0.021)</w:t>
            </w:r>
          </w:p>
        </w:tc>
        <w:tc>
          <w:tcPr>
            <w:tcW w:type="dxa" w:w="1550"/>
          </w:tcPr>
          <w:p>
            <w:pPr>
              <w:spacing w:after="0" w:line="240" w:lineRule="auto"/>
              <w:jc w:val="center"/>
            </w:pPr>
            <w:r/>
            <w:r>
              <w:rPr>
                <w:b/>
                <w:sz w:val="15"/>
              </w:rPr>
              <w:t>0.912 (0.886 ± 0.007)</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w/o edge gating</w:t>
            </w:r>
          </w:p>
        </w:tc>
        <w:tc>
          <w:tcPr>
            <w:tcW w:type="dxa" w:w="1550"/>
          </w:tcPr>
          <w:p>
            <w:pPr>
              <w:spacing w:after="0" w:line="240" w:lineRule="auto"/>
              <w:jc w:val="center"/>
            </w:pPr>
            <w:r/>
            <w:r>
              <w:rPr>
                <w:b/>
                <w:sz w:val="15"/>
              </w:rPr>
              <w:t>0.969 (0.964 ± 0.002)</w:t>
            </w:r>
          </w:p>
        </w:tc>
        <w:tc>
          <w:tcPr>
            <w:tcW w:type="dxa" w:w="1550"/>
          </w:tcPr>
          <w:p>
            <w:pPr>
              <w:spacing w:after="0" w:line="240" w:lineRule="auto"/>
              <w:jc w:val="center"/>
            </w:pPr>
            <w:r/>
            <w:r>
              <w:rPr>
                <w:sz w:val="15"/>
              </w:rPr>
              <w:t>0.428 (0.484 ± 0.017)</w:t>
            </w:r>
          </w:p>
        </w:tc>
        <w:tc>
          <w:tcPr>
            <w:tcW w:type="dxa" w:w="1550"/>
          </w:tcPr>
          <w:p>
            <w:pPr>
              <w:spacing w:after="0" w:line="240" w:lineRule="auto"/>
              <w:jc w:val="center"/>
            </w:pPr>
            <w:r/>
            <w:r>
              <w:rPr>
                <w:b/>
                <w:sz w:val="15"/>
              </w:rPr>
              <w:t>0.754 (0.814 ± 0.027)</w:t>
            </w:r>
          </w:p>
        </w:tc>
        <w:tc>
          <w:tcPr>
            <w:tcW w:type="dxa" w:w="1550"/>
          </w:tcPr>
          <w:p>
            <w:pPr>
              <w:spacing w:after="0" w:line="240" w:lineRule="auto"/>
              <w:jc w:val="center"/>
            </w:pPr>
            <w:r/>
            <w:r>
              <w:rPr>
                <w:sz w:val="15"/>
              </w:rPr>
              <w:t>0.907 (0.886 ± 0.010)</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w/o site readout</w:t>
            </w:r>
          </w:p>
        </w:tc>
        <w:tc>
          <w:tcPr>
            <w:tcW w:type="dxa" w:w="1550"/>
          </w:tcPr>
          <w:p>
            <w:pPr>
              <w:spacing w:after="0" w:line="240" w:lineRule="auto"/>
              <w:jc w:val="center"/>
            </w:pPr>
            <w:r/>
            <w:r>
              <w:rPr>
                <w:sz w:val="15"/>
              </w:rPr>
              <w:t>0.968 (0.963 ± 0.002)</w:t>
            </w:r>
          </w:p>
        </w:tc>
        <w:tc>
          <w:tcPr>
            <w:tcW w:type="dxa" w:w="1550"/>
          </w:tcPr>
          <w:p>
            <w:pPr>
              <w:spacing w:after="0" w:line="240" w:lineRule="auto"/>
              <w:jc w:val="center"/>
            </w:pPr>
            <w:r/>
            <w:r>
              <w:rPr>
                <w:sz w:val="15"/>
              </w:rPr>
              <w:t>0.427 (0.486 ± 0.017)</w:t>
            </w:r>
          </w:p>
        </w:tc>
        <w:tc>
          <w:tcPr>
            <w:tcW w:type="dxa" w:w="1550"/>
          </w:tcPr>
          <w:p>
            <w:pPr>
              <w:spacing w:after="0" w:line="240" w:lineRule="auto"/>
              <w:jc w:val="center"/>
            </w:pPr>
            <w:r/>
            <w:r>
              <w:rPr>
                <w:sz w:val="15"/>
              </w:rPr>
              <w:t>0.771 (0.830 ± 0.025)</w:t>
            </w:r>
          </w:p>
        </w:tc>
        <w:tc>
          <w:tcPr>
            <w:tcW w:type="dxa" w:w="1550"/>
          </w:tcPr>
          <w:p>
            <w:pPr>
              <w:spacing w:after="0" w:line="240" w:lineRule="auto"/>
              <w:jc w:val="center"/>
            </w:pPr>
            <w:r/>
            <w:r>
              <w:rPr>
                <w:sz w:val="15"/>
              </w:rPr>
              <w:t>0.906 (0.888 ± 0.007)</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GraphMPNN (final)</w:t>
            </w:r>
          </w:p>
        </w:tc>
        <w:tc>
          <w:tcPr>
            <w:tcW w:type="dxa" w:w="1550"/>
          </w:tcPr>
          <w:p>
            <w:pPr>
              <w:spacing w:after="0" w:line="240" w:lineRule="auto"/>
              <w:jc w:val="center"/>
            </w:pPr>
            <w:r/>
            <w:r>
              <w:rPr>
                <w:sz w:val="15"/>
              </w:rPr>
              <w:t>0.969 (0.963 ± 0.002)</w:t>
            </w:r>
          </w:p>
        </w:tc>
        <w:tc>
          <w:tcPr>
            <w:tcW w:type="dxa" w:w="1550"/>
          </w:tcPr>
          <w:p>
            <w:pPr>
              <w:spacing w:after="0" w:line="240" w:lineRule="auto"/>
              <w:jc w:val="center"/>
            </w:pPr>
            <w:r/>
            <w:r>
              <w:rPr>
                <w:b/>
                <w:sz w:val="15"/>
              </w:rPr>
              <w:t>0.424 (0.484 ± 0.020)</w:t>
            </w:r>
          </w:p>
        </w:tc>
        <w:tc>
          <w:tcPr>
            <w:tcW w:type="dxa" w:w="1550"/>
          </w:tcPr>
          <w:p>
            <w:pPr>
              <w:spacing w:after="0" w:line="240" w:lineRule="auto"/>
              <w:jc w:val="center"/>
            </w:pPr>
            <w:r/>
            <w:r>
              <w:rPr>
                <w:sz w:val="15"/>
              </w:rPr>
              <w:t>0.757 (0.820 ± 0.025)</w:t>
            </w:r>
          </w:p>
        </w:tc>
        <w:tc>
          <w:tcPr>
            <w:tcW w:type="dxa" w:w="1550"/>
          </w:tcPr>
          <w:p>
            <w:pPr>
              <w:spacing w:after="0" w:line="240" w:lineRule="auto"/>
              <w:jc w:val="center"/>
            </w:pPr>
            <w:r/>
            <w:r>
              <w:rPr>
                <w:sz w:val="15"/>
              </w:rPr>
              <w:t>0.910 (0.887 ± 0.010)</w:t>
            </w:r>
          </w:p>
        </w:tc>
      </w:tr>
      <w:tr>
        <w:tc>
          <w:tcPr>
            <w:tcW w:type="dxa" w:w="1220"/>
          </w:tcPr>
          <w:p>
            <w:pPr>
              <w:spacing w:after="0" w:line="240" w:lineRule="auto"/>
              <w:jc w:val="left"/>
            </w:pPr>
            <w:r/>
            <w:r>
              <w:rPr>
                <w:sz w:val="15"/>
              </w:rPr>
              <w:t>pKa (basic)</w:t>
            </w:r>
          </w:p>
        </w:tc>
        <w:tc>
          <w:tcPr>
            <w:tcW w:type="dxa" w:w="1938"/>
          </w:tcPr>
          <w:p>
            <w:pPr>
              <w:spacing w:after="0" w:line="240" w:lineRule="auto"/>
              <w:jc w:val="center"/>
            </w:pPr>
            <w:r/>
            <w:r>
              <w:rPr>
                <w:sz w:val="15"/>
              </w:rPr>
              <w:t>full, w/o xTB features</w:t>
            </w:r>
          </w:p>
        </w:tc>
        <w:tc>
          <w:tcPr>
            <w:tcW w:type="dxa" w:w="1550"/>
          </w:tcPr>
          <w:p>
            <w:pPr>
              <w:spacing w:after="0" w:line="240" w:lineRule="auto"/>
              <w:jc w:val="center"/>
            </w:pPr>
            <w:r/>
            <w:r>
              <w:rPr>
                <w:sz w:val="15"/>
              </w:rPr>
              <w:t>0.943† (0.931 ± 0.004)</w:t>
            </w:r>
          </w:p>
        </w:tc>
        <w:tc>
          <w:tcPr>
            <w:tcW w:type="dxa" w:w="1550"/>
          </w:tcPr>
          <w:p>
            <w:pPr>
              <w:spacing w:after="0" w:line="240" w:lineRule="auto"/>
              <w:jc w:val="center"/>
            </w:pPr>
            <w:r/>
            <w:r>
              <w:rPr>
                <w:sz w:val="15"/>
              </w:rPr>
              <w:t>0.424† (0.483 ± 0.014)</w:t>
            </w:r>
          </w:p>
        </w:tc>
        <w:tc>
          <w:tcPr>
            <w:tcW w:type="dxa" w:w="1550"/>
          </w:tcPr>
          <w:p>
            <w:pPr>
              <w:spacing w:after="0" w:line="240" w:lineRule="auto"/>
              <w:jc w:val="center"/>
            </w:pPr>
            <w:r/>
            <w:r>
              <w:rPr>
                <w:sz w:val="15"/>
              </w:rPr>
              <w:t>0.703† (0.772 ± 0.024)</w:t>
            </w:r>
          </w:p>
        </w:tc>
        <w:tc>
          <w:tcPr>
            <w:tcW w:type="dxa" w:w="1550"/>
          </w:tcPr>
          <w:p>
            <w:pPr>
              <w:spacing w:after="0" w:line="240" w:lineRule="auto"/>
              <w:jc w:val="center"/>
            </w:pPr>
            <w:r/>
            <w:r>
              <w:rPr>
                <w:sz w:val="15"/>
              </w:rPr>
              <w:t>0.892† (0.875 ± 0.006)</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full, w/o edge gating</w:t>
            </w:r>
          </w:p>
        </w:tc>
        <w:tc>
          <w:tcPr>
            <w:tcW w:type="dxa" w:w="1550"/>
          </w:tcPr>
          <w:p>
            <w:pPr>
              <w:spacing w:after="0" w:line="240" w:lineRule="auto"/>
              <w:jc w:val="center"/>
            </w:pPr>
            <w:r/>
            <w:r>
              <w:rPr>
                <w:sz w:val="15"/>
              </w:rPr>
              <w:t>0.946† (0.935 ± 0.004)</w:t>
            </w:r>
          </w:p>
        </w:tc>
        <w:tc>
          <w:tcPr>
            <w:tcW w:type="dxa" w:w="1550"/>
          </w:tcPr>
          <w:p>
            <w:pPr>
              <w:spacing w:after="0" w:line="240" w:lineRule="auto"/>
              <w:jc w:val="center"/>
            </w:pPr>
            <w:r/>
            <w:r>
              <w:rPr>
                <w:sz w:val="15"/>
              </w:rPr>
              <w:t>0.415 (0.469 ± 0.015)</w:t>
            </w:r>
          </w:p>
        </w:tc>
        <w:tc>
          <w:tcPr>
            <w:tcW w:type="dxa" w:w="1550"/>
          </w:tcPr>
          <w:p>
            <w:pPr>
              <w:spacing w:after="0" w:line="240" w:lineRule="auto"/>
              <w:jc w:val="center"/>
            </w:pPr>
            <w:r/>
            <w:r>
              <w:rPr>
                <w:sz w:val="15"/>
              </w:rPr>
              <w:t>0.680† (0.747 ± 0.023)</w:t>
            </w:r>
          </w:p>
        </w:tc>
        <w:tc>
          <w:tcPr>
            <w:tcW w:type="dxa" w:w="1550"/>
          </w:tcPr>
          <w:p>
            <w:pPr>
              <w:spacing w:after="0" w:line="240" w:lineRule="auto"/>
              <w:jc w:val="center"/>
            </w:pPr>
            <w:r/>
            <w:r>
              <w:rPr>
                <w:sz w:val="15"/>
              </w:rPr>
              <w:t>0.901 (0.882 ± 0.006)</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GraphMPNN (full)</w:t>
            </w:r>
          </w:p>
        </w:tc>
        <w:tc>
          <w:tcPr>
            <w:tcW w:type="dxa" w:w="1550"/>
          </w:tcPr>
          <w:p>
            <w:pPr>
              <w:spacing w:after="0" w:line="240" w:lineRule="auto"/>
              <w:jc w:val="center"/>
            </w:pPr>
            <w:r/>
            <w:r>
              <w:rPr>
                <w:sz w:val="15"/>
              </w:rPr>
              <w:t>0.948 (0.937 ± 0.003)</w:t>
            </w:r>
          </w:p>
        </w:tc>
        <w:tc>
          <w:tcPr>
            <w:tcW w:type="dxa" w:w="1550"/>
          </w:tcPr>
          <w:p>
            <w:pPr>
              <w:spacing w:after="0" w:line="240" w:lineRule="auto"/>
              <w:jc w:val="center"/>
            </w:pPr>
            <w:r/>
            <w:r>
              <w:rPr>
                <w:sz w:val="15"/>
              </w:rPr>
              <w:t>0.416 (0.472 ± 0.010)</w:t>
            </w:r>
          </w:p>
        </w:tc>
        <w:tc>
          <w:tcPr>
            <w:tcW w:type="dxa" w:w="1550"/>
          </w:tcPr>
          <w:p>
            <w:pPr>
              <w:spacing w:after="0" w:line="240" w:lineRule="auto"/>
              <w:jc w:val="center"/>
            </w:pPr>
            <w:r/>
            <w:r>
              <w:rPr>
                <w:sz w:val="15"/>
              </w:rPr>
              <w:t>0.670 (0.736 ± 0.016)</w:t>
            </w:r>
          </w:p>
        </w:tc>
        <w:tc>
          <w:tcPr>
            <w:tcW w:type="dxa" w:w="1550"/>
          </w:tcPr>
          <w:p>
            <w:pPr>
              <w:spacing w:after="0" w:line="240" w:lineRule="auto"/>
              <w:jc w:val="center"/>
            </w:pPr>
            <w:r/>
            <w:r>
              <w:rPr>
                <w:sz w:val="15"/>
              </w:rPr>
              <w:t>0.899 (0.885 ± 0.009)</w:t>
            </w:r>
          </w:p>
        </w:tc>
      </w:tr>
      <w:tr>
        <w:tc>
          <w:tcPr>
            <w:tcW w:type="dxa" w:w="1220"/>
          </w:tcPr>
          <w:p>
            <w:pPr>
              <w:spacing w:after="0" w:line="240" w:lineRule="auto"/>
              <w:jc w:val="left"/>
            </w:pPr>
            <w:r/>
            <w:r>
              <w:rPr>
                <w:sz w:val="15"/>
              </w:rPr>
            </w:r>
          </w:p>
        </w:tc>
        <w:tc>
          <w:tcPr>
            <w:tcW w:type="dxa" w:w="1938"/>
          </w:tcPr>
          <w:p>
            <w:pPr>
              <w:spacing w:after="0" w:line="240" w:lineRule="auto"/>
              <w:jc w:val="center"/>
            </w:pPr>
            <w:r/>
            <w:r>
              <w:rPr>
                <w:sz w:val="15"/>
              </w:rPr>
              <w:t>final, w/o xTB features</w:t>
            </w:r>
          </w:p>
        </w:tc>
        <w:tc>
          <w:tcPr>
            <w:tcW w:type="dxa" w:w="1550"/>
          </w:tcPr>
          <w:p>
            <w:pPr>
              <w:spacing w:after="0" w:line="240" w:lineRule="auto"/>
              <w:jc w:val="center"/>
            </w:pPr>
            <w:r/>
            <w:r>
              <w:rPr>
                <w:sz w:val="15"/>
              </w:rPr>
              <w:t>0.945† (0.934 ± 0.004)</w:t>
            </w:r>
          </w:p>
        </w:tc>
        <w:tc>
          <w:tcPr>
            <w:tcW w:type="dxa" w:w="1550"/>
          </w:tcPr>
          <w:p>
            <w:pPr>
              <w:spacing w:after="0" w:line="240" w:lineRule="auto"/>
              <w:jc w:val="center"/>
            </w:pPr>
            <w:r/>
            <w:r>
              <w:rPr>
                <w:sz w:val="15"/>
              </w:rPr>
              <w:t>0.418† (0.473 ± 0.014)</w:t>
            </w:r>
          </w:p>
        </w:tc>
        <w:tc>
          <w:tcPr>
            <w:tcW w:type="dxa" w:w="1550"/>
          </w:tcPr>
          <w:p>
            <w:pPr>
              <w:spacing w:after="0" w:line="240" w:lineRule="auto"/>
              <w:jc w:val="center"/>
            </w:pPr>
            <w:r/>
            <w:r>
              <w:rPr>
                <w:sz w:val="15"/>
              </w:rPr>
              <w:t>0.688† (0.753 ± 0.021)</w:t>
            </w:r>
          </w:p>
        </w:tc>
        <w:tc>
          <w:tcPr>
            <w:tcW w:type="dxa" w:w="1550"/>
          </w:tcPr>
          <w:p>
            <w:pPr>
              <w:spacing w:after="0" w:line="240" w:lineRule="auto"/>
              <w:jc w:val="center"/>
            </w:pPr>
            <w:r/>
            <w:r>
              <w:rPr>
                <w:sz w:val="15"/>
              </w:rPr>
              <w:t>0.893† (0.880 ± 0.008)</w:t>
            </w:r>
          </w:p>
        </w:tc>
      </w:tr>
      <w:tr>
        <w:tc>
          <w:tcPr>
            <w:tcW w:type="dxa" w:w="1220"/>
            <w:tcBorders>
              <w:bottom w:val="single" w:sz="6" w:space="0" w:color="000000"/>
            </w:tcBorders>
          </w:tcPr>
          <w:p>
            <w:pPr>
              <w:spacing w:after="0" w:line="240" w:lineRule="auto"/>
              <w:jc w:val="left"/>
            </w:pPr>
            <w:r/>
            <w:r>
              <w:rPr>
                <w:sz w:val="15"/>
              </w:rPr>
            </w:r>
          </w:p>
        </w:tc>
        <w:tc>
          <w:tcPr>
            <w:tcW w:type="dxa" w:w="1938"/>
            <w:tcBorders>
              <w:bottom w:val="single" w:sz="6" w:space="0" w:color="000000"/>
            </w:tcBorders>
          </w:tcPr>
          <w:p>
            <w:pPr>
              <w:spacing w:after="0" w:line="240" w:lineRule="auto"/>
              <w:jc w:val="center"/>
            </w:pPr>
            <w:r/>
            <w:r>
              <w:rPr>
                <w:sz w:val="15"/>
              </w:rPr>
              <w:t>GraphMPNN (no site readout) (final)</w:t>
            </w:r>
          </w:p>
        </w:tc>
        <w:tc>
          <w:tcPr>
            <w:tcW w:type="dxa" w:w="1550"/>
            <w:tcBorders>
              <w:bottom w:val="single" w:sz="6" w:space="0" w:color="000000"/>
            </w:tcBorders>
          </w:tcPr>
          <w:p>
            <w:pPr>
              <w:spacing w:after="0" w:line="240" w:lineRule="auto"/>
              <w:jc w:val="center"/>
            </w:pPr>
            <w:r/>
            <w:r>
              <w:rPr>
                <w:b/>
                <w:sz w:val="15"/>
              </w:rPr>
              <w:t>0.950 (0.940 ± 0.002)</w:t>
            </w:r>
          </w:p>
        </w:tc>
        <w:tc>
          <w:tcPr>
            <w:tcW w:type="dxa" w:w="1550"/>
            <w:tcBorders>
              <w:bottom w:val="single" w:sz="6" w:space="0" w:color="000000"/>
            </w:tcBorders>
          </w:tcPr>
          <w:p>
            <w:pPr>
              <w:spacing w:after="0" w:line="240" w:lineRule="auto"/>
              <w:jc w:val="center"/>
            </w:pPr>
            <w:r/>
            <w:r>
              <w:rPr>
                <w:b/>
                <w:sz w:val="15"/>
              </w:rPr>
              <w:t>0.406 (0.461 ± 0.016)</w:t>
            </w:r>
          </w:p>
        </w:tc>
        <w:tc>
          <w:tcPr>
            <w:tcW w:type="dxa" w:w="1550"/>
            <w:tcBorders>
              <w:bottom w:val="single" w:sz="6" w:space="0" w:color="000000"/>
            </w:tcBorders>
          </w:tcPr>
          <w:p>
            <w:pPr>
              <w:spacing w:after="0" w:line="240" w:lineRule="auto"/>
              <w:jc w:val="center"/>
            </w:pPr>
            <w:r/>
            <w:r>
              <w:rPr>
                <w:b/>
                <w:sz w:val="15"/>
              </w:rPr>
              <w:t>0.654 (0.720 ± 0.013)</w:t>
            </w:r>
          </w:p>
        </w:tc>
        <w:tc>
          <w:tcPr>
            <w:tcW w:type="dxa" w:w="1550"/>
            <w:tcBorders>
              <w:bottom w:val="single" w:sz="6" w:space="0" w:color="000000"/>
            </w:tcBorders>
          </w:tcPr>
          <w:p>
            <w:pPr>
              <w:spacing w:after="0" w:line="240" w:lineRule="auto"/>
              <w:jc w:val="center"/>
            </w:pPr>
            <w:r/>
            <w:r>
              <w:rPr>
                <w:b/>
                <w:sz w:val="15"/>
              </w:rPr>
              <w:t>0.907 (0.889 ± 0.013)</w:t>
            </w:r>
          </w:p>
        </w:tc>
      </w:tr>
    </w:tbl>
    <w:p>
      <w:pPr>
        <w:spacing w:after="0"/>
      </w:pPr>
      <w:r>
        <w:rPr>
          <w:sz w:val="14"/>
        </w:rPr>
        <w:t>Entries: 10-seed ensemble (seed mean ± SD); MAE and RMSE in pKa units. Bold: best ensemble value per endpoint and metric. †: paired-bootstrap 95% CI of the difference (final − variant) excludes zero in favor of the final model; no mark: CI includes zero; no variant was resolved as better than the final model. pKa (acidic): final = full GraphMPNN. pKa (basic): final = GraphMPNN without the ionizable-site readout; 'full' rows are the complete GraphMPNN and its ablations; 'final, w/o xTB features' is the final model with the xTB inputs zeroed. Final-model rows are those of Table I.</w:t>
      </w:r>
    </w:p>
    <w:p>
      <w:pPr>
        <w:spacing w:after="40"/>
      </w:pPr>
    </w:p>
    <w:p>
      <w:pPr>
        <w:pStyle w:val="Heading2"/>
      </w:pPr>
      <w:r>
        <w:t>F. Propagation to Predicted Exposure</w:t>
      </w:r>
    </w:p>
    <w:p>
      <w:pPr>
        <w:jc w:val="both"/>
      </w:pPr>
      <w:r>
        <w:rPr>
          <w:b w:val="0"/>
          <w:i w:val="0"/>
        </w:rPr>
        <w:t>A natural question is whether improved parameter predictions translate into better predicted exposure. Table VIII addresses this on the same 106 compounds of Section C, holding the downstream model fixed and varying only the source of CL and VDss. Under the simplest exposure model consistent with the dose-linearity and 1 mg/kg normalization used throughout this benchmark — a one-compartment intravenous model — the area under the concentration–time curve and the maximum concentration follow in closed form from CL, VDss and the infusion duration: AUC = D/CL, and Cmax = D/V for a bolus or (R₀/CL)(1 − e^(−kT)) for an infusion of duration T, with R₀ = D/T and k = CL/V. Parameter error can therefore be propagated to exposure error analytically, with no fitted downstream model and no training data.</w:t>
      </w:r>
    </w:p>
    <w:p>
      <w:pPr>
        <w:jc w:val="both"/>
      </w:pPr>
      <w:r>
        <w:rPr>
          <w:b w:val="0"/>
          <w:i w:val="0"/>
        </w:rPr>
        <w:t xml:space="preserve">What this quantifies is </w:t>
      </w:r>
      <w:r>
        <w:rPr>
          <w:b w:val="0"/>
          <w:i/>
        </w:rPr>
        <w:t>how parameter error propagates into exposure error</w:t>
      </w:r>
      <w:r>
        <w:rPr>
          <w:b w:val="0"/>
          <w:i w:val="0"/>
        </w:rPr>
        <w:t xml:space="preserve"> with the downstream model held constant; it is not a measurement of absolute concentration–time profile accuracy, and it is not comparable with exposure errors obtained by scoring predicted profiles against observed profiles. Two consequences of the model should be stated before the numbers are read. First, because AUC = D/CL exactly, the AUC fold error is identically the CL fold error, so the AUC row carries no information beyond the CL results of Tables I–IV; it is reported for completeness. Cmax, which depends on CL, VDss and infusion time jointly, is the only genuinely new quantity. Second, Fu does not enter a one-compartment model at all, so this analysis is silent on it; under a physiologically based model Fu would act through tissue partitioning, which this model does not represent.</w:t>
      </w:r>
    </w:p>
    <w:p>
      <w:pPr>
        <w:jc w:val="both"/>
      </w:pPr>
      <w:r>
        <w:rPr>
          <w:b w:val="0"/>
          <w:i w:val="0"/>
        </w:rPr>
        <w:t>No difference is resolved. For Cmax the proposed parameters give the lower geometric mean fold error (1.774 vs. 1.872) and the higher fraction within two-fold (0.689 vs. 0.632), but the paired differences are not resolved (GMFE difference -0.097, 95% CI [-0.228, 0.034]). For AUC the two parameter sources are indistinguishable, as the equivalence with CL requires. The ensemble again outperforms the average individual seed on every exposure metric (Cmax GMFE 1.774 for the ensemble vs. 1.833 ± 0.040 across seeds).</w:t>
      </w:r>
    </w:p>
    <w:p>
      <w:pPr>
        <w:keepNext/>
        <w:jc w:val="center"/>
      </w:pPr>
      <w:r>
        <w:rPr>
          <w:smallCaps/>
          <w:sz w:val="16"/>
        </w:rPr>
        <w:t>Table VIII</w:t>
        <w:br/>
      </w:r>
      <w:r>
        <w:rPr>
          <w:sz w:val="16"/>
        </w:rPr>
        <w:t>Propagation of predicted CL and VDss to exposure under a one-compartment IV model</w:t>
      </w:r>
    </w:p>
    <w:tbl>
      <w:tblPr>
        <w:tblW w:type="auto" w:w="0"/>
        <w:jc w:val="center"/>
        <w:tblLayout w:type="fixed"/>
        <w:tblLook w:firstColumn="1" w:firstRow="1" w:lastColumn="0" w:lastRow="0" w:noHBand="0" w:noVBand="1" w:val="04A0"/>
        <w:tblLayout w:type="fixed"/>
        <w:tblW w:w="9360" w:type="dxa"/>
      </w:tblPr>
      <w:tblGrid>
        <w:gridCol w:w="1872"/>
        <w:gridCol w:w="1872"/>
        <w:gridCol w:w="1872"/>
        <w:gridCol w:w="1872"/>
        <w:gridCol w:w="1872"/>
      </w:tblGrid>
      <w:tr>
        <w:tc>
          <w:tcPr>
            <w:tcW w:type="dxa" w:w="1452"/>
            <w:tcBorders>
              <w:top w:val="single" w:sz="6" w:space="0" w:color="000000"/>
              <w:bottom w:val="single" w:sz="6" w:space="0" w:color="000000"/>
            </w:tcBorders>
          </w:tcPr>
          <w:p>
            <w:pPr>
              <w:spacing w:after="0" w:line="240" w:lineRule="auto"/>
              <w:jc w:val="left"/>
            </w:pPr>
            <w:r/>
            <w:r>
              <w:rPr>
                <w:b/>
                <w:sz w:val="15"/>
              </w:rPr>
              <w:t>Exposure</w:t>
            </w:r>
          </w:p>
        </w:tc>
        <w:tc>
          <w:tcPr>
            <w:tcW w:type="dxa" w:w="968"/>
            <w:tcBorders>
              <w:top w:val="single" w:sz="6" w:space="0" w:color="000000"/>
              <w:bottom w:val="single" w:sz="6" w:space="0" w:color="000000"/>
            </w:tcBorders>
          </w:tcPr>
          <w:p>
            <w:pPr>
              <w:spacing w:after="0" w:line="240" w:lineRule="auto"/>
              <w:jc w:val="center"/>
            </w:pPr>
            <w:r/>
            <w:r>
              <w:rPr>
                <w:b/>
                <w:sz w:val="15"/>
              </w:rPr>
              <w:t>Metric</w:t>
            </w:r>
          </w:p>
        </w:tc>
        <w:tc>
          <w:tcPr>
            <w:tcW w:type="dxa" w:w="2501"/>
            <w:tcBorders>
              <w:top w:val="single" w:sz="6" w:space="0" w:color="000000"/>
              <w:bottom w:val="single" w:sz="6" w:space="0" w:color="000000"/>
            </w:tcBorders>
          </w:tcPr>
          <w:p>
            <w:pPr>
              <w:spacing w:after="0" w:line="240" w:lineRule="auto"/>
              <w:jc w:val="center"/>
            </w:pPr>
            <w:r/>
            <w:r>
              <w:rPr>
                <w:b/>
                <w:sz w:val="15"/>
              </w:rPr>
              <w:t>From benchmark parameters [95% CI]</w:t>
            </w:r>
          </w:p>
        </w:tc>
        <w:tc>
          <w:tcPr>
            <w:tcW w:type="dxa" w:w="2501"/>
            <w:tcBorders>
              <w:top w:val="single" w:sz="6" w:space="0" w:color="000000"/>
              <w:bottom w:val="single" w:sz="6" w:space="0" w:color="000000"/>
            </w:tcBorders>
          </w:tcPr>
          <w:p>
            <w:pPr>
              <w:spacing w:after="0" w:line="240" w:lineRule="auto"/>
              <w:jc w:val="center"/>
            </w:pPr>
            <w:r/>
            <w:r>
              <w:rPr>
                <w:b/>
                <w:sz w:val="15"/>
              </w:rPr>
              <w:t>From this work's parameters [95% CI]</w:t>
            </w:r>
          </w:p>
        </w:tc>
        <w:tc>
          <w:tcPr>
            <w:tcW w:type="dxa" w:w="1937"/>
            <w:tcBorders>
              <w:top w:val="single" w:sz="6" w:space="0" w:color="000000"/>
              <w:bottom w:val="single" w:sz="6" w:space="0" w:color="000000"/>
            </w:tcBorders>
          </w:tcPr>
          <w:p>
            <w:pPr>
              <w:spacing w:after="0" w:line="240" w:lineRule="auto"/>
              <w:jc w:val="center"/>
            </w:pPr>
            <w:r/>
            <w:r>
              <w:rPr>
                <w:b/>
                <w:sz w:val="15"/>
              </w:rPr>
              <w:t>95% CI of difference</w:t>
            </w:r>
          </w:p>
        </w:tc>
      </w:tr>
      <w:tr>
        <w:tc>
          <w:tcPr>
            <w:tcW w:type="dxa" w:w="1452"/>
          </w:tcPr>
          <w:p>
            <w:pPr>
              <w:spacing w:after="0" w:line="240" w:lineRule="auto"/>
              <w:jc w:val="left"/>
            </w:pPr>
            <w:r/>
            <w:r>
              <w:rPr>
                <w:sz w:val="15"/>
              </w:rPr>
              <w:t>AUC (n = 106)</w:t>
            </w:r>
          </w:p>
        </w:tc>
        <w:tc>
          <w:tcPr>
            <w:tcW w:type="dxa" w:w="968"/>
          </w:tcPr>
          <w:p>
            <w:pPr>
              <w:spacing w:after="0" w:line="240" w:lineRule="auto"/>
              <w:jc w:val="center"/>
            </w:pPr>
            <w:r/>
            <w:r>
              <w:rPr>
                <w:sz w:val="15"/>
              </w:rPr>
              <w:t>R²</w:t>
            </w:r>
          </w:p>
        </w:tc>
        <w:tc>
          <w:tcPr>
            <w:tcW w:type="dxa" w:w="2501"/>
          </w:tcPr>
          <w:p>
            <w:pPr>
              <w:spacing w:after="0" w:line="240" w:lineRule="auto"/>
              <w:jc w:val="center"/>
            </w:pPr>
            <w:r/>
            <w:r>
              <w:rPr>
                <w:b/>
                <w:sz w:val="15"/>
              </w:rPr>
              <w:t>0.433 [0.234, 0.595]</w:t>
            </w:r>
          </w:p>
        </w:tc>
        <w:tc>
          <w:tcPr>
            <w:tcW w:type="dxa" w:w="2501"/>
          </w:tcPr>
          <w:p>
            <w:pPr>
              <w:spacing w:after="0" w:line="240" w:lineRule="auto"/>
              <w:jc w:val="center"/>
            </w:pPr>
            <w:r/>
            <w:r>
              <w:rPr>
                <w:sz w:val="15"/>
              </w:rPr>
              <w:t>0.411 [0.223, 0.569]</w:t>
            </w:r>
          </w:p>
        </w:tc>
        <w:tc>
          <w:tcPr>
            <w:tcW w:type="dxa" w:w="1937"/>
          </w:tcPr>
          <w:p>
            <w:pPr>
              <w:spacing w:after="0" w:line="240" w:lineRule="auto"/>
              <w:jc w:val="center"/>
            </w:pPr>
            <w:r/>
            <w:r>
              <w:rPr>
                <w:sz w:val="15"/>
              </w:rPr>
              <w:t>[−0.109, +0.058]</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GMFE</w:t>
            </w:r>
          </w:p>
        </w:tc>
        <w:tc>
          <w:tcPr>
            <w:tcW w:type="dxa" w:w="2501"/>
          </w:tcPr>
          <w:p>
            <w:pPr>
              <w:spacing w:after="0" w:line="240" w:lineRule="auto"/>
              <w:jc w:val="center"/>
            </w:pPr>
            <w:r/>
            <w:r>
              <w:rPr>
                <w:sz w:val="15"/>
              </w:rPr>
              <w:t>1.969 [1.760, 2.238]</w:t>
            </w:r>
          </w:p>
        </w:tc>
        <w:tc>
          <w:tcPr>
            <w:tcW w:type="dxa" w:w="2501"/>
          </w:tcPr>
          <w:p>
            <w:pPr>
              <w:spacing w:after="0" w:line="240" w:lineRule="auto"/>
              <w:jc w:val="center"/>
            </w:pPr>
            <w:r/>
            <w:r>
              <w:rPr>
                <w:b/>
                <w:sz w:val="15"/>
              </w:rPr>
              <w:t>1.953 [1.732, 2.233]</w:t>
            </w:r>
          </w:p>
        </w:tc>
        <w:tc>
          <w:tcPr>
            <w:tcW w:type="dxa" w:w="1937"/>
          </w:tcPr>
          <w:p>
            <w:pPr>
              <w:spacing w:after="0" w:line="240" w:lineRule="auto"/>
              <w:jc w:val="center"/>
            </w:pPr>
            <w:r/>
            <w:r>
              <w:rPr>
                <w:sz w:val="15"/>
              </w:rPr>
              <w:t>[−0.121, +0.093]</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W2F</w:t>
            </w:r>
          </w:p>
        </w:tc>
        <w:tc>
          <w:tcPr>
            <w:tcW w:type="dxa" w:w="2501"/>
          </w:tcPr>
          <w:p>
            <w:pPr>
              <w:spacing w:after="0" w:line="240" w:lineRule="auto"/>
              <w:jc w:val="center"/>
            </w:pPr>
            <w:r/>
            <w:r>
              <w:rPr>
                <w:b/>
                <w:sz w:val="15"/>
              </w:rPr>
              <w:t>0.642 [0.547, 0.726]</w:t>
            </w:r>
          </w:p>
        </w:tc>
        <w:tc>
          <w:tcPr>
            <w:tcW w:type="dxa" w:w="2501"/>
          </w:tcPr>
          <w:p>
            <w:pPr>
              <w:spacing w:after="0" w:line="240" w:lineRule="auto"/>
              <w:jc w:val="center"/>
            </w:pPr>
            <w:r/>
            <w:r>
              <w:rPr>
                <w:sz w:val="15"/>
              </w:rPr>
              <w:t>0.613 [0.519, 0.708]</w:t>
            </w:r>
          </w:p>
        </w:tc>
        <w:tc>
          <w:tcPr>
            <w:tcW w:type="dxa" w:w="1937"/>
          </w:tcPr>
          <w:p>
            <w:pPr>
              <w:spacing w:after="0" w:line="240" w:lineRule="auto"/>
              <w:jc w:val="center"/>
            </w:pPr>
            <w:r/>
            <w:r>
              <w:rPr>
                <w:sz w:val="15"/>
              </w:rPr>
              <w:t>[−0.104, +0.047]</w:t>
            </w:r>
          </w:p>
        </w:tc>
      </w:tr>
      <w:tr>
        <w:tc>
          <w:tcPr>
            <w:tcW w:type="dxa" w:w="1452"/>
          </w:tcPr>
          <w:p>
            <w:pPr>
              <w:spacing w:after="0" w:line="240" w:lineRule="auto"/>
              <w:jc w:val="left"/>
            </w:pPr>
            <w:r/>
            <w:r>
              <w:rPr>
                <w:sz w:val="15"/>
              </w:rPr>
              <w:t>Cmax (n = 106)</w:t>
            </w:r>
          </w:p>
        </w:tc>
        <w:tc>
          <w:tcPr>
            <w:tcW w:type="dxa" w:w="968"/>
          </w:tcPr>
          <w:p>
            <w:pPr>
              <w:spacing w:after="0" w:line="240" w:lineRule="auto"/>
              <w:jc w:val="center"/>
            </w:pPr>
            <w:r/>
            <w:r>
              <w:rPr>
                <w:sz w:val="15"/>
              </w:rPr>
              <w:t>R²</w:t>
            </w:r>
          </w:p>
        </w:tc>
        <w:tc>
          <w:tcPr>
            <w:tcW w:type="dxa" w:w="2501"/>
          </w:tcPr>
          <w:p>
            <w:pPr>
              <w:spacing w:after="0" w:line="240" w:lineRule="auto"/>
              <w:jc w:val="center"/>
            </w:pPr>
            <w:r/>
            <w:r>
              <w:rPr>
                <w:sz w:val="15"/>
              </w:rPr>
              <w:t>0.572 [0.415, 0.686]</w:t>
            </w:r>
          </w:p>
        </w:tc>
        <w:tc>
          <w:tcPr>
            <w:tcW w:type="dxa" w:w="2501"/>
          </w:tcPr>
          <w:p>
            <w:pPr>
              <w:spacing w:after="0" w:line="240" w:lineRule="auto"/>
              <w:jc w:val="center"/>
            </w:pPr>
            <w:r/>
            <w:r>
              <w:rPr>
                <w:b/>
                <w:sz w:val="15"/>
              </w:rPr>
              <w:t>0.615 [0.441, 0.741]</w:t>
            </w:r>
          </w:p>
        </w:tc>
        <w:tc>
          <w:tcPr>
            <w:tcW w:type="dxa" w:w="1937"/>
          </w:tcPr>
          <w:p>
            <w:pPr>
              <w:spacing w:after="0" w:line="240" w:lineRule="auto"/>
              <w:jc w:val="center"/>
            </w:pPr>
            <w:r/>
            <w:r>
              <w:rPr>
                <w:sz w:val="15"/>
              </w:rPr>
              <w:t>[−0.043, +0.122]</w:t>
            </w:r>
          </w:p>
        </w:tc>
      </w:tr>
      <w:tr>
        <w:tc>
          <w:tcPr>
            <w:tcW w:type="dxa" w:w="1452"/>
          </w:tcPr>
          <w:p>
            <w:pPr>
              <w:spacing w:after="0" w:line="240" w:lineRule="auto"/>
              <w:jc w:val="left"/>
            </w:pPr>
            <w:r/>
            <w:r>
              <w:rPr>
                <w:sz w:val="15"/>
              </w:rPr>
            </w:r>
          </w:p>
        </w:tc>
        <w:tc>
          <w:tcPr>
            <w:tcW w:type="dxa" w:w="968"/>
          </w:tcPr>
          <w:p>
            <w:pPr>
              <w:spacing w:after="0" w:line="240" w:lineRule="auto"/>
              <w:jc w:val="center"/>
            </w:pPr>
            <w:r/>
            <w:r>
              <w:rPr>
                <w:sz w:val="15"/>
              </w:rPr>
              <w:t>GMFE</w:t>
            </w:r>
          </w:p>
        </w:tc>
        <w:tc>
          <w:tcPr>
            <w:tcW w:type="dxa" w:w="2501"/>
          </w:tcPr>
          <w:p>
            <w:pPr>
              <w:spacing w:after="0" w:line="240" w:lineRule="auto"/>
              <w:jc w:val="center"/>
            </w:pPr>
            <w:r/>
            <w:r>
              <w:rPr>
                <w:sz w:val="15"/>
              </w:rPr>
              <w:t>1.872 [1.695, 2.079]</w:t>
            </w:r>
          </w:p>
        </w:tc>
        <w:tc>
          <w:tcPr>
            <w:tcW w:type="dxa" w:w="2501"/>
          </w:tcPr>
          <w:p>
            <w:pPr>
              <w:spacing w:after="0" w:line="240" w:lineRule="auto"/>
              <w:jc w:val="center"/>
            </w:pPr>
            <w:r/>
            <w:r>
              <w:rPr>
                <w:b/>
                <w:sz w:val="15"/>
              </w:rPr>
              <w:t>1.774 [1.606, 1.976]</w:t>
            </w:r>
          </w:p>
        </w:tc>
        <w:tc>
          <w:tcPr>
            <w:tcW w:type="dxa" w:w="1937"/>
          </w:tcPr>
          <w:p>
            <w:pPr>
              <w:spacing w:after="0" w:line="240" w:lineRule="auto"/>
              <w:jc w:val="center"/>
            </w:pPr>
            <w:r/>
            <w:r>
              <w:rPr>
                <w:sz w:val="15"/>
              </w:rPr>
              <w:t>[−0.228, +0.034]</w:t>
            </w:r>
          </w:p>
        </w:tc>
      </w:tr>
      <w:tr>
        <w:tc>
          <w:tcPr>
            <w:tcW w:type="dxa" w:w="1452"/>
            <w:tcBorders>
              <w:bottom w:val="single" w:sz="6" w:space="0" w:color="000000"/>
            </w:tcBorders>
          </w:tcPr>
          <w:p>
            <w:pPr>
              <w:spacing w:after="0" w:line="240" w:lineRule="auto"/>
              <w:jc w:val="left"/>
            </w:pPr>
            <w:r/>
            <w:r>
              <w:rPr>
                <w:sz w:val="15"/>
              </w:rPr>
            </w:r>
          </w:p>
        </w:tc>
        <w:tc>
          <w:tcPr>
            <w:tcW w:type="dxa" w:w="968"/>
            <w:tcBorders>
              <w:bottom w:val="single" w:sz="6" w:space="0" w:color="000000"/>
            </w:tcBorders>
          </w:tcPr>
          <w:p>
            <w:pPr>
              <w:spacing w:after="0" w:line="240" w:lineRule="auto"/>
              <w:jc w:val="center"/>
            </w:pPr>
            <w:r/>
            <w:r>
              <w:rPr>
                <w:sz w:val="15"/>
              </w:rPr>
              <w:t>W2F</w:t>
            </w:r>
          </w:p>
        </w:tc>
        <w:tc>
          <w:tcPr>
            <w:tcW w:type="dxa" w:w="2501"/>
            <w:tcBorders>
              <w:bottom w:val="single" w:sz="6" w:space="0" w:color="000000"/>
            </w:tcBorders>
          </w:tcPr>
          <w:p>
            <w:pPr>
              <w:spacing w:after="0" w:line="240" w:lineRule="auto"/>
              <w:jc w:val="center"/>
            </w:pPr>
            <w:r/>
            <w:r>
              <w:rPr>
                <w:sz w:val="15"/>
              </w:rPr>
              <w:t>0.632 [0.538, 0.717]</w:t>
            </w:r>
          </w:p>
        </w:tc>
        <w:tc>
          <w:tcPr>
            <w:tcW w:type="dxa" w:w="2501"/>
            <w:tcBorders>
              <w:bottom w:val="single" w:sz="6" w:space="0" w:color="000000"/>
            </w:tcBorders>
          </w:tcPr>
          <w:p>
            <w:pPr>
              <w:spacing w:after="0" w:line="240" w:lineRule="auto"/>
              <w:jc w:val="center"/>
            </w:pPr>
            <w:r/>
            <w:r>
              <w:rPr>
                <w:b/>
                <w:sz w:val="15"/>
              </w:rPr>
              <w:t>0.689 [0.594, 0.774]</w:t>
            </w:r>
          </w:p>
        </w:tc>
        <w:tc>
          <w:tcPr>
            <w:tcW w:type="dxa" w:w="1937"/>
            <w:tcBorders>
              <w:bottom w:val="single" w:sz="6" w:space="0" w:color="000000"/>
            </w:tcBorders>
          </w:tcPr>
          <w:p>
            <w:pPr>
              <w:spacing w:after="0" w:line="240" w:lineRule="auto"/>
              <w:jc w:val="center"/>
            </w:pPr>
            <w:r/>
            <w:r>
              <w:rPr>
                <w:sz w:val="15"/>
              </w:rPr>
              <w:t>[−0.038, +0.151]</w:t>
            </w:r>
          </w:p>
        </w:tc>
      </w:tr>
    </w:tbl>
    <w:p>
      <w:pPr>
        <w:spacing w:after="0"/>
      </w:pPr>
      <w:r>
        <w:rPr>
          <w:sz w:val="14"/>
        </w:rPr>
        <w:t>One-compartment IV model, dose linearity, 1 mg/kg; observed CL and VDss define the reference exposure. R² on log10 exposure; GMFE and W2F on the linear scale. CIs: compound-level bootstrap, B = 10 000; differences paired as in Table IV. No difference is resolved. AUC fold error is identically CL fold error under this model. These values are not comparable with exposure errors obtained by scoring predicted concentration–time profiles against observed profiles.</w:t>
      </w:r>
    </w:p>
    <w:p>
      <w:pPr>
        <w:spacing w:after="40"/>
      </w:pPr>
    </w:p>
    <w:p>
      <w:pPr>
        <w:jc w:val="center"/>
      </w:pPr>
      <w:r>
        <w:drawing>
          <wp:inline xmlns:a="http://schemas.openxmlformats.org/drawingml/2006/main" xmlns:pic="http://schemas.openxmlformats.org/drawingml/2006/picture">
            <wp:extent cx="5943600" cy="2660336"/>
            <wp:docPr id="6" name="Picture 6"/>
            <wp:cNvGraphicFramePr>
              <a:graphicFrameLocks noChangeAspect="1"/>
            </wp:cNvGraphicFramePr>
            <a:graphic>
              <a:graphicData uri="http://schemas.openxmlformats.org/drawingml/2006/picture">
                <pic:pic>
                  <pic:nvPicPr>
                    <pic:cNvPr id="0" name="fig6_downstream.png"/>
                    <pic:cNvPicPr/>
                  </pic:nvPicPr>
                  <pic:blipFill>
                    <a:blip r:embed="rId14"/>
                    <a:stretch>
                      <a:fillRect/>
                    </a:stretch>
                  </pic:blipFill>
                  <pic:spPr>
                    <a:xfrm>
                      <a:off x="0" y="0"/>
                      <a:ext cx="5943600" cy="2660336"/>
                    </a:xfrm>
                    <a:prstGeom prst="rect"/>
                  </pic:spPr>
                </pic:pic>
              </a:graphicData>
            </a:graphic>
          </wp:inline>
        </w:drawing>
      </w:r>
    </w:p>
    <w:p>
      <w:pPr>
        <w:jc w:val="both"/>
      </w:pPr>
      <w:r>
        <w:rPr>
          <w:sz w:val="16"/>
        </w:rPr>
        <w:t xml:space="preserve">Fig. 6. </w:t>
      </w:r>
      <w:r>
        <w:rPr>
          <w:sz w:val="16"/>
        </w:rPr>
        <w:t>Per-compound exposure fold error from the benchmark's parameters (horizontal) against this work's (vertical), under the one-compartment model. The shaded square marks compounds within two-fold for both; points below the identity line are compounds for which this work's parameters give the closer exposure.</w:t>
      </w:r>
    </w:p>
    <w:p>
      <w:pPr>
        <w:pStyle w:val="Heading1"/>
      </w:pPr>
      <w:r>
        <w:t>VI. Discussion</w:t>
      </w:r>
    </w:p>
    <w:p>
      <w:pPr>
        <w:pStyle w:val="Heading2"/>
      </w:pPr>
      <w:r>
        <w:t>A. Where the Proposed Models Improve, and Where They Do Not</w:t>
      </w:r>
    </w:p>
    <w:p>
      <w:pPr>
        <w:jc w:val="both"/>
      </w:pPr>
      <w:r>
        <w:rPr>
          <w:b w:val="0"/>
          <w:i w:val="0"/>
        </w:rPr>
        <w:t>The five endpoints divide cleanly. On the two pKa endpoints the proposed GraphMPNN models improve on the published benchmark by a margin that survives every test applied here: the published values lie outside the bootstrap confidence intervals of the ensemble metrics (Table III), and on the subset where the benchmark's own per-compound predictions are available the improvement is resolved by a paired test on R², MAE and RMSE for both endpoints (Table IV). The effect is large rather than marginal — on pKa (basic) the paired MAE falls from 0.634 to 0.314, and the proposed model is the closer prediction for 76 of the 106 compounds. On the three pharmacokinetic endpoints the picture is different: the ensembles are at least as good as the benchmark on most metrics and better on several point estimates, but no difference is resolved, and on the full test split the benchmark retains the better GMFE and within-two-fold fraction for CL (Table III).</w:t>
      </w:r>
    </w:p>
    <w:p>
      <w:pPr>
        <w:jc w:val="both"/>
      </w:pPr>
      <w:r>
        <w:rPr>
          <w:b w:val="0"/>
          <w:i w:val="0"/>
        </w:rPr>
        <w:t>The most plausible reading is that the gap reflects what each endpoint's data can support rather than a difference in modeling effort. pKa is a thermodynamic property of the molecular structure itself, measured reproducibly, and the training sets here are the largest of the five. A message-passing network operating on the molecular graph with xTB-derived electronic features can exploit that structure directly, and the ablation confirms that the electronic features carry real signal for pKa (basic). CL, VDss and Fu are whole-organism properties whose reference values aggregate inter-individual variability, differing assay protocols and literature curation decisions; their test sets here are also far smaller, 177 compounds for CL and VDss. Both factors compress the achievable range of performance and widen every confidence interval, so that even consistent point-estimate advantages — the proposed model holds the better value on every VDss and Fu metric in Table IV — fail to resolve.</w:t>
      </w:r>
    </w:p>
    <w:p>
      <w:pPr>
        <w:jc w:val="both"/>
      </w:pPr>
      <w:r>
        <w:rPr>
          <w:b w:val="0"/>
          <w:i w:val="0"/>
        </w:rPr>
        <w:t>Two observations recur across every analysis and are worth separating from the endpoint-specific findings. First, ensembling is not cosmetic: on all five endpoints the 10-seed ensemble beats the average individual seed on every metric, and the gap is large enough to change conclusions. CL is the clearest case, where the ensemble R² of 0.497 exceeds the published 0.48 while the seed mean of 0.441 does not. Any comparison of this kind should therefore state whether an ensemble or a single model is being reported. Second, the seed-to-seed standard deviation is substantial relative to the differences under discussion — up to 0.029 in R² — which is why a comparison based on a single seed per architecture is difficult to interpret.</w:t>
      </w:r>
    </w:p>
    <w:p>
      <w:pPr>
        <w:pStyle w:val="Heading2"/>
      </w:pPr>
      <w:r>
        <w:t>B. What the Ablations Show</w:t>
      </w:r>
    </w:p>
    <w:p>
      <w:pPr>
        <w:jc w:val="both"/>
      </w:pPr>
      <w:r>
        <w:rPr>
          <w:b w:val="0"/>
          <w:i w:val="0"/>
        </w:rPr>
        <w:t>The component ablations resolve far less than is usually claimed for architectural choices. On CL, none of the differences between the final MFMN-DynGate, MFMN-InteractAux and the base MFMN is resolved, although the ordering is consistent and the seed-to-seed variance falls markedly as components are added (0.076 to 0.020 in R² standard deviation). On VDss the auxiliary supervision is clearly load-bearing: removing it costs 0.108 in GMFE with the CI excluding zero, whereas exchanging one gating mechanism for the other changes nothing resolvable. On pKa (basic) the xTB-derived features are the component that matters, and on pKa (acidic) no component is resolved at all.</w:t>
      </w:r>
    </w:p>
    <w:p>
      <w:pPr>
        <w:jc w:val="both"/>
      </w:pPr>
      <w:r>
        <w:rPr>
          <w:b w:val="0"/>
          <w:i w:val="0"/>
        </w:rPr>
        <w:t>Read together, these results suggest that for this family of problems the choice of representation — graph versus descriptor, with or without electronic features — matters more than the particular gating or attention mechanism layered on top, and that several of the architectural refinements are within seed noise on the test sets available. That is a limitation of the evidence as much as a claim about the architectures: with 177 compounds, differences smaller than roughly one seed standard deviation cannot be detected.</w:t>
      </w:r>
    </w:p>
    <w:p>
      <w:pPr>
        <w:pStyle w:val="Heading2"/>
      </w:pPr>
      <w:r>
        <w:t>C. Does Better Parameter Prediction Improve Predicted Exposure?</w:t>
      </w:r>
    </w:p>
    <w:p>
      <w:pPr>
        <w:jc w:val="both"/>
      </w:pPr>
      <w:r>
        <w:rPr>
          <w:b w:val="0"/>
          <w:i w:val="0"/>
        </w:rPr>
        <w:t>Section F answers this directly for the quantities a one-compartment model can express, and the answer is that it does not, measurably, on these 106 compounds. The result deserves care rather than dismissal. The AUC comparison is not independent evidence at all: AUC = D/CL makes its fold error identical to the CL fold error, so it restates an endpoint on which the two models were already indistinguishable. Cmax is the informative quantity, and there the proposed parameters give a lower GMFE (1.774 vs. 1.872) and a higher within-two-fold fraction, in the direction the VDss results predict, but without reaching resolution on a sample this size.</w:t>
      </w:r>
    </w:p>
    <w:p>
      <w:pPr>
        <w:jc w:val="both"/>
      </w:pPr>
      <w:r>
        <w:rPr>
          <w:b w:val="0"/>
          <w:i w:val="0"/>
        </w:rPr>
        <w:t xml:space="preserve">Two structural features of the problem limit what this analysis can show. The benchmark's own feature-importance analysis for its downstream model </w:t>
      </w:r>
      <w:r>
        <w:rPr>
          <w:b/>
          <w:i w:val="0"/>
          <w:color w:val="C00000"/>
        </w:rPr>
        <w:t>[REF: Jia et al., Supporting Information, Table S6]</w:t>
      </w:r>
      <w:r>
        <w:rPr>
          <w:b w:val="0"/>
          <w:i w:val="0"/>
        </w:rPr>
        <w:t xml:space="preserve"> ranks CL and VDss far above the remaining parameters, with Fu last, which supports propagating exactly those two but also implies that improvements concentrated in the other parameters cannot express themselves downstream. More fundamentally, the endpoints on which the proposed models improve most — the two pKa constants — have almost no influence on exposure in this framework, while the endpoint that dominates exposure, CL, is the one on which the two models are closest. A substantial gain in pKa prediction can therefore coexist with no measurable gain in predicted exposure without any inconsistency. Confirming this properly would require the observed concentration–time data, which is not publicly available for this benchmark; the comparison reported here is the strongest that can be made without it.</w:t>
      </w:r>
    </w:p>
    <w:p>
      <w:pPr>
        <w:pStyle w:val="Heading2"/>
      </w:pPr>
      <w:r>
        <w:t>D. Limitations</w:t>
      </w:r>
    </w:p>
    <w:p>
      <w:pPr>
        <w:jc w:val="both"/>
      </w:pPr>
      <w:r>
        <w:rPr>
          <w:b w:val="0"/>
          <w:i w:val="0"/>
        </w:rPr>
        <w:t>Each endpoint is evaluated on a single official held-out split, so the results characterize performance on those particular compounds and inherit their composition. The CL and VDss splits contain 177 compounds each, and the paired comparison of Table IV and the exposure analysis of Table VIII rest on 106; at these sizes only large differences resolve, and the absence of a resolved difference is not evidence of equivalence. No cross-validated estimate for the final models is reported here, so the stability of these results across alternative partitions of the same data is not established.</w:t>
      </w:r>
    </w:p>
    <w:p>
      <w:pPr>
        <w:jc w:val="both"/>
      </w:pPr>
      <w:r>
        <w:rPr>
          <w:b w:val="0"/>
          <w:i w:val="0"/>
        </w:rPr>
        <w:t>The comparison is against a single published benchmark, and for most of the test data that benchmark reports aggregate values only, which is why Table III can report no more than whether a published point estimate falls inside a confidence interval. Published values were transcribed from the source and should be re-verified before submission. The classical baselines of Section D use library defaults and are intended as a reference point for the difficulty of each endpoint, not as tuned competitors.</w:t>
      </w:r>
    </w:p>
    <w:p>
      <w:pPr>
        <w:jc w:val="both"/>
      </w:pPr>
      <w:r>
        <w:rPr>
          <w:b w:val="0"/>
          <w:i w:val="0"/>
        </w:rPr>
        <w:t>The exposure analysis of Section F inherits the assumptions of a one-compartment intravenous model with linear kinetics and a 1 mg/kg normalization. Real disposition is frequently multi-compartmental, and the model cannot represent tissue partitioning, protein binding or saturable elimination; its value here is that it is identical across the arms being compared, not that it describes any compound exactly. Its results therefore bound how much the parameter improvements could matter under that model, and say nothing about absolute profile accuracy.</w:t>
      </w:r>
    </w:p>
    <w:p>
      <w:pPr>
        <w:pStyle w:val="Heading1"/>
      </w:pPr>
      <w:r>
        <w:t>VII. Conclusion</w:t>
      </w:r>
    </w:p>
    <w:p>
      <w:pPr>
        <w:jc w:val="both"/>
      </w:pPr>
      <w:r>
        <w:rPr>
          <w:b w:val="0"/>
          <w:i w:val="0"/>
        </w:rPr>
        <w:t>This work reproduced and extended the first stage of a published intravenous pharmacokinetics benchmark, training a graph message-passing network for the two pKa endpoints and a family of factorized-descriptor networks for clearance, volume of distribution and fraction unbound, each as a 10-seed ensemble fitted on the official training split and scored once on the official held-out test split. On the pKa endpoints the proposed models improve on the benchmark substantially and the improvement is statistically resolved, both against the published values and, on the subset where the benchmark's per-compound predictions are available, by a paired test: R² rises to 0.969 and 0.950 for the acidic and basic endpoints, with mean absolute errors of 0.424 and 0.406 pKa units. On clearance, volume of distribution and fraction unbound the proposed models are comparable to the benchmark, better on several point estimates and worse on others, with no difference resolved.</w:t>
      </w:r>
    </w:p>
    <w:p>
      <w:pPr>
        <w:jc w:val="both"/>
      </w:pPr>
      <w:r>
        <w:rPr>
          <w:b w:val="0"/>
          <w:i w:val="0"/>
        </w:rPr>
        <w:t>Propagating the predicted parameters through a fixed one-compartment exposure model produced no resolved improvement in predicted AUC or Cmax. That outcome is consistent with the parameter-level results rather than in tension with them, since exposure in this framework is governed largely by clearance, the endpoint on which the two models are closest, and is insensitive to the pKa constants on which they differ most. Establishing whether improved parameter prediction benefits full concentration–time prediction would require the observed profile data underlying the benchmark.</w:t>
      </w:r>
    </w:p>
    <w:p>
      <w:pPr>
        <w:jc w:val="both"/>
      </w:pPr>
      <w:r>
        <w:rPr>
          <w:b w:val="0"/>
          <w:i w:val="0"/>
        </w:rPr>
        <w:t>Two methodological points generalize beyond this benchmark. Multi-seed ensembling changed the sign of several comparisons relative to single models and should be reported explicitly rather than left implicit. And across the ablations, differences between architectural variants were frequently smaller than the variation between random seeds of the same architecture, so claims about component contributions on test sets of this size require seed-level variability to be quantified before they can be sustained.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val="0"/>
      <w:bCs/>
      <w:i/>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