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B2A4A"/>
          <w:sz w:val="56"/>
          <w:szCs w:val="56"/>
        </w:rPr>
        <w:t xml:space="preserve">MyOptionDiary</w:t>
      </w:r>
    </w:p>
    <w:p>
      <w:pPr>
        <w:spacing w:after="80" w:before="0"/>
      </w:pPr>
      <w:r>
        <w:rPr>
          <w:rFonts w:ascii="Arial" w:cs="Arial" w:eastAsia="Arial" w:hAnsi="Arial"/>
          <w:b/>
          <w:bCs/>
          <w:color w:val="0D6E6E"/>
          <w:sz w:val="40"/>
          <w:szCs w:val="40"/>
        </w:rPr>
        <w:t xml:space="preserve">Interactive Brokers (IBKR) CSV Migration Guide</w:t>
      </w:r>
    </w:p>
    <w:p>
      <w:pPr>
        <w:spacing w:after="480" w:before="0"/>
      </w:pPr>
      <w:r>
        <w:rPr>
          <w:rFonts w:ascii="Arial" w:cs="Arial" w:eastAsia="Arial" w:hAnsi="Arial"/>
          <w:i/>
          <w:iCs/>
          <w:color w:val="5D6D7E"/>
          <w:sz w:val="22"/>
          <w:szCs w:val="22"/>
        </w:rPr>
        <w:t xml:space="preserve">How to prepare your IBKR Flex Query export so MyOptionDiary can reconstruct your full wheel history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30A" w:sz="12"/>
              <w:left w:val="single" w:color="B7730A" w:sz="24"/>
              <w:bottom w:val="single" w:color="B7730A" w:sz="6"/>
              <w:right w:val="single" w:color="B7730A" w:sz="6"/>
            </w:tcBorders>
            <w:shd w:fill="FEF3CD" w:val="clear"/>
            <w:tcMar>
              <w:top w:type="dxa" w:w="100"/>
              <w:left w:type="dxa" w:w="130"/>
              <w:bottom w:type="dxa" w:w="100"/>
              <w:right w:type="dxa" w:w="100"/>
            </w:tcMar>
          </w:tcPr>
          <w:p>
            <w:r>
              <w:rPr>
                <w:rFonts w:ascii="Arial" w:cs="Arial" w:eastAsia="Arial" w:hAnsi="Arial"/>
                <w:b/>
                <w:bCs/>
                <w:color w:val="92600A"/>
                <w:sz w:val="20"/>
                <w:szCs w:val="20"/>
              </w:rPr>
              <w:t xml:space="preserve">📋  </w:t>
            </w:r>
            <w:r>
              <w:rPr>
                <w:rFonts w:ascii="Arial" w:cs="Arial" w:eastAsia="Arial" w:hAnsi="Arial"/>
                <w:b/>
                <w:bCs/>
                <w:color w:val="92600A"/>
                <w:sz w:val="20"/>
                <w:szCs w:val="20"/>
              </w:rPr>
              <w:t xml:space="preserve">Migration tool — one time only.  </w:t>
            </w:r>
            <w:r>
              <w:rPr>
                <w:rFonts w:ascii="Arial" w:cs="Arial" w:eastAsia="Arial" w:hAnsi="Arial"/>
                <w:color w:val="1A1A1A"/>
                <w:sz w:val="20"/>
                <w:szCs w:val="20"/>
              </w:rPr>
              <w:t xml:space="preserve">CSV import is a one-time migration tool for loading your existing broker history. Once imported, log all new trades through the app.</w:t>
            </w:r>
          </w:p>
        </w:tc>
      </w:tr>
    </w:tbl>
    <w:p>
      <w:pPr>
        <w:spacing w:before="240"/>
      </w:pPr>
    </w:p>
    <w:p>
      <w:pPr>
        <w:pStyle w:val="Heading1"/>
        <w:pBdr>
          <w:bottom w:val="single" w:color="0D6E6E" w:sz="8" w:space="4"/>
        </w:pBdr>
        <w:spacing w:after="160" w:before="300"/>
      </w:pPr>
      <w:r>
        <w:rPr>
          <w:rFonts w:ascii="Arial" w:cs="Arial" w:eastAsia="Arial" w:hAnsi="Arial"/>
          <w:b/>
          <w:bCs/>
          <w:color w:val="1B2A4A"/>
          <w:sz w:val="36"/>
          <w:szCs w:val="36"/>
        </w:rPr>
        <w:t xml:space="preserve">1  Overview</w:t>
      </w:r>
    </w:p>
    <w:p>
      <w:pPr>
        <w:spacing w:after="80" w:before="60"/>
      </w:pPr>
      <w:r>
        <w:rPr>
          <w:rFonts w:ascii="Arial" w:cs="Arial" w:eastAsia="Arial" w:hAnsi="Arial"/>
          <w:sz w:val="21"/>
          <w:szCs w:val="21"/>
        </w:rPr>
        <w:t xml:space="preserve">MyOptionDiary reads IBKR’s Flex Query trade export format. The key columns are Symbol (OCC format), Quantity (negative = sell), Code (O=open, C=close, A=assigned, Ep=expired, Ex=exercised), and T. Price.</w:t>
      </w:r>
    </w:p>
    <w:p>
      <w:pPr>
        <w:spacing w:after="80" w:before="60"/>
      </w:pPr>
      <w:r>
        <w:rPr>
          <w:rFonts w:ascii="Arial" w:cs="Arial" w:eastAsia="Arial" w:hAnsi="Arial"/>
          <w:sz w:val="21"/>
          <w:szCs w:val="21"/>
        </w:rPr>
        <w:t xml:space="preserve">IBKR does not use action names like “Sell to Open”. Instead it encodes direction in the Quantity sign and the trade type in the Code field. The parser handles this automatically.</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30A" w:sz="12"/>
              <w:left w:val="single" w:color="B7730A" w:sz="24"/>
              <w:bottom w:val="single" w:color="B7730A" w:sz="6"/>
              <w:right w:val="single" w:color="B7730A" w:sz="6"/>
            </w:tcBorders>
            <w:shd w:fill="FEF3CD" w:val="clear"/>
            <w:tcMar>
              <w:top w:type="dxa" w:w="100"/>
              <w:left w:type="dxa" w:w="130"/>
              <w:bottom w:type="dxa" w:w="100"/>
              <w:right w:type="dxa" w:w="100"/>
            </w:tcMar>
          </w:tcPr>
          <w:p>
            <w:r>
              <w:rPr>
                <w:rFonts w:ascii="Arial" w:cs="Arial" w:eastAsia="Arial" w:hAnsi="Arial"/>
                <w:b/>
                <w:bCs/>
                <w:color w:val="92600A"/>
                <w:sz w:val="20"/>
                <w:szCs w:val="20"/>
              </w:rPr>
              <w:t xml:space="preserve">⚠  </w:t>
            </w:r>
            <w:r>
              <w:rPr>
                <w:rFonts w:ascii="Arial" w:cs="Arial" w:eastAsia="Arial" w:hAnsi="Arial"/>
                <w:b/>
                <w:bCs/>
                <w:color w:val="92600A"/>
                <w:sz w:val="20"/>
                <w:szCs w:val="20"/>
              </w:rPr>
              <w:t xml:space="preserve">IBKR Symbol format is different from Schwab:  </w:t>
            </w:r>
            <w:r>
              <w:rPr>
                <w:rFonts w:ascii="Arial" w:cs="Arial" w:eastAsia="Arial" w:hAnsi="Arial"/>
                <w:color w:val="1A1A1A"/>
                <w:sz w:val="20"/>
                <w:szCs w:val="20"/>
              </w:rPr>
              <w:t xml:space="preserve">IBKR uses: AAPL 20260417 C00250000 (space-separated, 8-digit strike in cents, no decimal). The parser handles this format automatically — you do not need to change it.</w:t>
            </w:r>
          </w:p>
        </w:tc>
      </w:tr>
    </w:tbl>
    <w:p>
      <w:pPr>
        <w:spacing w:before="200"/>
      </w:pPr>
    </w:p>
    <w:p>
      <w:pPr>
        <w:pStyle w:val="Heading1"/>
        <w:pBdr>
          <w:bottom w:val="single" w:color="0D6E6E" w:sz="8" w:space="4"/>
        </w:pBdr>
        <w:spacing w:after="160" w:before="300"/>
      </w:pPr>
      <w:r>
        <w:rPr>
          <w:rFonts w:ascii="Arial" w:cs="Arial" w:eastAsia="Arial" w:hAnsi="Arial"/>
          <w:b/>
          <w:bCs/>
          <w:color w:val="1B2A4A"/>
          <w:sz w:val="36"/>
          <w:szCs w:val="36"/>
        </w:rPr>
        <w:t xml:space="preserve">2  IBKR Code Field — What the Parser Reads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3160"/>
      </w:tblGrid>
      <w:tr>
        <w:trPr>
          <w:tblHeader/>
        </w:trPr>
        <w:tc>
          <w:tcPr>
            <w:tcW w:type="dxa" w:w="1400"/>
            <w:shd w:fill="0D6E6E" w:val="clear"/>
            <w:tcMar>
              <w:top w:type="dxa" w:w="100"/>
              <w:left w:type="dxa" w:w="130"/>
              <w:bottom w:type="dxa" w:w="100"/>
              <w:right w:type="dxa" w:w="100"/>
            </w:tcMar>
          </w:tcPr>
          <w:p>
            <w:r>
              <w:rPr>
                <w:rFonts w:ascii="Arial" w:cs="Arial" w:eastAsia="Arial" w:hAnsi="Arial"/>
                <w:b/>
                <w:bCs/>
                <w:color w:val="FFFFFF"/>
                <w:sz w:val="19"/>
                <w:szCs w:val="19"/>
              </w:rPr>
              <w:t xml:space="preserve">Code</w:t>
            </w:r>
          </w:p>
        </w:tc>
        <w:tc>
          <w:tcPr>
            <w:tcW w:type="dxa" w:w="2000"/>
            <w:shd w:fill="0D6E6E" w:val="clear"/>
            <w:tcMar>
              <w:top w:type="dxa" w:w="100"/>
              <w:left w:type="dxa" w:w="130"/>
              <w:bottom w:type="dxa" w:w="100"/>
              <w:right w:type="dxa" w:w="100"/>
            </w:tcMar>
          </w:tcPr>
          <w:p>
            <w:r>
              <w:rPr>
                <w:rFonts w:ascii="Arial" w:cs="Arial" w:eastAsia="Arial" w:hAnsi="Arial"/>
                <w:b/>
                <w:bCs/>
                <w:color w:val="FFFFFF"/>
                <w:sz w:val="19"/>
                <w:szCs w:val="19"/>
              </w:rPr>
              <w:t xml:space="preserve">Meaning</w:t>
            </w:r>
          </w:p>
        </w:tc>
        <w:tc>
          <w:tcPr>
            <w:tcW w:type="dxa" w:w="2800"/>
            <w:shd w:fill="0D6E6E" w:val="clear"/>
            <w:tcMar>
              <w:top w:type="dxa" w:w="100"/>
              <w:left w:type="dxa" w:w="130"/>
              <w:bottom w:type="dxa" w:w="100"/>
              <w:right w:type="dxa" w:w="100"/>
            </w:tcMar>
          </w:tcPr>
          <w:p>
            <w:r>
              <w:rPr>
                <w:rFonts w:ascii="Arial" w:cs="Arial" w:eastAsia="Arial" w:hAnsi="Arial"/>
                <w:b/>
                <w:bCs/>
                <w:color w:val="FFFFFF"/>
                <w:sz w:val="19"/>
                <w:szCs w:val="19"/>
              </w:rPr>
              <w:t xml:space="preserve">Direction (Qty)</w:t>
            </w:r>
          </w:p>
        </w:tc>
        <w:tc>
          <w:tcPr>
            <w:tcW w:type="dxa" w:w="3160"/>
            <w:shd w:fill="0D6E6E" w:val="clear"/>
            <w:tcMar>
              <w:top w:type="dxa" w:w="100"/>
              <w:left w:type="dxa" w:w="130"/>
              <w:bottom w:type="dxa" w:w="100"/>
              <w:right w:type="dxa" w:w="100"/>
            </w:tcMar>
          </w:tcPr>
          <w:p>
            <w:r>
              <w:rPr>
                <w:rFonts w:ascii="Arial" w:cs="Arial" w:eastAsia="Arial" w:hAnsi="Arial"/>
                <w:b/>
                <w:bCs/>
                <w:color w:val="FFFFFF"/>
                <w:sz w:val="19"/>
                <w:szCs w:val="19"/>
              </w:rPr>
              <w:t xml:space="preserve">What parser does</w:t>
            </w:r>
          </w:p>
        </w:tc>
      </w:tr>
      <w:tr>
        <w:tc>
          <w:tcPr>
            <w:tcW w:type="dxa" w:w="14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O</w:t>
            </w:r>
          </w:p>
        </w:tc>
        <w:tc>
          <w:tcPr>
            <w:tcW w:type="dxa" w:w="20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Open</w:t>
            </w:r>
          </w:p>
        </w:tc>
        <w:tc>
          <w:tcPr>
            <w:tcW w:type="dxa" w:w="28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Negative = Sell to Open
Positive = Buy to Open</w:t>
            </w:r>
          </w:p>
        </w:tc>
        <w:tc>
          <w:tcPr>
            <w:tcW w:type="dxa" w:w="316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Creates open CC/CSP or Long Call/Put</w:t>
            </w:r>
          </w:p>
        </w:tc>
      </w:tr>
      <w:tr>
        <w:tc>
          <w:tcPr>
            <w:tcW w:type="dxa" w:w="14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C</w:t>
            </w:r>
          </w:p>
        </w:tc>
        <w:tc>
          <w:tcPr>
            <w:tcW w:type="dxa" w:w="20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Close</w:t>
            </w:r>
          </w:p>
        </w:tc>
        <w:tc>
          <w:tcPr>
            <w:tcW w:type="dxa" w:w="28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Positive = Buy to Close
Negative = Sell to Close</w:t>
            </w:r>
          </w:p>
        </w:tc>
        <w:tc>
          <w:tcPr>
            <w:tcW w:type="dxa" w:w="316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Closes CC/CSP or Long Call/Put, calculates P&amp;L</w:t>
            </w:r>
          </w:p>
        </w:tc>
      </w:tr>
      <w:tr>
        <w:tc>
          <w:tcPr>
            <w:tcW w:type="dxa" w:w="14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A</w:t>
            </w:r>
          </w:p>
        </w:tc>
        <w:tc>
          <w:tcPr>
            <w:tcW w:type="dxa" w:w="20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Assignment</w:t>
            </w:r>
          </w:p>
        </w:tc>
        <w:tc>
          <w:tcPr>
            <w:tcW w:type="dxa" w:w="28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N/A</w:t>
            </w:r>
          </w:p>
        </w:tc>
        <w:tc>
          <w:tcPr>
            <w:tcW w:type="dxa" w:w="316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CSP assigned → lot created
CC called away → lot closed</w:t>
            </w:r>
          </w:p>
        </w:tc>
      </w:tr>
      <w:tr>
        <w:tc>
          <w:tcPr>
            <w:tcW w:type="dxa" w:w="14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Ep</w:t>
            </w:r>
          </w:p>
        </w:tc>
        <w:tc>
          <w:tcPr>
            <w:tcW w:type="dxa" w:w="20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Expiration</w:t>
            </w:r>
          </w:p>
        </w:tc>
        <w:tc>
          <w:tcPr>
            <w:tcW w:type="dxa" w:w="28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N/A</w:t>
            </w:r>
          </w:p>
        </w:tc>
        <w:tc>
          <w:tcPr>
            <w:tcW w:type="dxa" w:w="316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Option expired worthless</w:t>
            </w:r>
          </w:p>
        </w:tc>
      </w:tr>
      <w:tr>
        <w:tc>
          <w:tcPr>
            <w:tcW w:type="dxa" w:w="14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Ex</w:t>
            </w:r>
          </w:p>
        </w:tc>
        <w:tc>
          <w:tcPr>
            <w:tcW w:type="dxa" w:w="20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Exercise</w:t>
            </w:r>
          </w:p>
        </w:tc>
        <w:tc>
          <w:tcPr>
            <w:tcW w:type="dxa" w:w="28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N/A</w:t>
            </w:r>
          </w:p>
        </w:tc>
        <w:tc>
          <w:tcPr>
            <w:tcW w:type="dxa" w:w="316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Flag in Action Required panel — handle manually</w:t>
            </w:r>
          </w:p>
        </w:tc>
      </w:tr>
      <w:tr>
        <w:tc>
          <w:tcPr>
            <w:tcW w:type="dxa" w:w="14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O (Stocks row)</w:t>
            </w:r>
          </w:p>
        </w:tc>
        <w:tc>
          <w:tcPr>
            <w:tcW w:type="dxa" w:w="20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Share purchase</w:t>
            </w:r>
          </w:p>
        </w:tc>
        <w:tc>
          <w:tcPr>
            <w:tcW w:type="dxa" w:w="28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Positive quantity</w:t>
            </w:r>
          </w:p>
        </w:tc>
        <w:tc>
          <w:tcPr>
            <w:tcW w:type="dxa" w:w="316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Stock lot created</w:t>
            </w:r>
          </w:p>
        </w:tc>
      </w:tr>
      <w:tr>
        <w:tc>
          <w:tcPr>
            <w:tcW w:type="dxa" w:w="14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A (Stocks row)</w:t>
            </w:r>
          </w:p>
        </w:tc>
        <w:tc>
          <w:tcPr>
            <w:tcW w:type="dxa" w:w="20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Called away / Assigned</w:t>
            </w:r>
          </w:p>
        </w:tc>
        <w:tc>
          <w:tcPr>
            <w:tcW w:type="dxa" w:w="28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Negative quantity</w:t>
            </w:r>
          </w:p>
        </w:tc>
        <w:tc>
          <w:tcPr>
            <w:tcW w:type="dxa" w:w="316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Stock lot closed at strike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12"/>
              <w:left w:val="single" w:color="0D6E6E" w:sz="24"/>
              <w:bottom w:val="single" w:color="0D6E6E" w:sz="6"/>
              <w:right w:val="single" w:color="0D6E6E" w:sz="6"/>
            </w:tcBorders>
            <w:shd w:fill="EAF4F4" w:val="clear"/>
            <w:tcMar>
              <w:top w:type="dxa" w:w="100"/>
              <w:left w:type="dxa" w:w="130"/>
              <w:bottom w:type="dxa" w:w="100"/>
              <w:right w:type="dxa" w:w="100"/>
            </w:tcMar>
          </w:tcPr>
          <w:p>
            <w:r>
              <w:rPr>
                <w:rFonts w:ascii="Arial" w:cs="Arial" w:eastAsia="Arial" w:hAnsi="Arial"/>
                <w:b/>
                <w:bCs/>
                <w:color w:val="0D6E6E"/>
                <w:sz w:val="20"/>
                <w:szCs w:val="20"/>
              </w:rPr>
              <w:t xml:space="preserve">💡  </w:t>
            </w:r>
            <w:r>
              <w:rPr>
                <w:rFonts w:ascii="Arial" w:cs="Arial" w:eastAsia="Arial" w:hAnsi="Arial"/>
                <w:b/>
                <w:bCs/>
                <w:color w:val="0D6E6E"/>
                <w:sz w:val="20"/>
                <w:szCs w:val="20"/>
              </w:rPr>
              <w:t xml:space="preserve">Assigned rows come in pairs in IBKR:  </w:t>
            </w:r>
            <w:r>
              <w:rPr>
                <w:rFonts w:ascii="Arial" w:cs="Arial" w:eastAsia="Arial" w:hAnsi="Arial"/>
                <w:color w:val="1A1A1A"/>
                <w:sz w:val="20"/>
                <w:szCs w:val="20"/>
              </w:rPr>
              <w:t xml:space="preserve">When a CSP is assigned, IBKR emits two rows: (1) the option row with Code A closing the CSP, and (2) a Stocks row with Code A opening the share position. The parser reads both. The END marker goes after both rows.</w:t>
            </w:r>
          </w:p>
        </w:tc>
      </w:tr>
    </w:tbl>
    <w:p>
      <w:pPr>
        <w:spacing w:before="200"/>
      </w:pPr>
    </w:p>
    <w:p>
      <w:pPr>
        <w:pStyle w:val="Heading1"/>
        <w:pBdr>
          <w:bottom w:val="single" w:color="0D6E6E" w:sz="8" w:space="4"/>
        </w:pBdr>
        <w:spacing w:after="160" w:before="300"/>
      </w:pPr>
      <w:r>
        <w:rPr>
          <w:rFonts w:ascii="Arial" w:cs="Arial" w:eastAsia="Arial" w:hAnsi="Arial"/>
          <w:b/>
          <w:bCs/>
          <w:color w:val="1B2A4A"/>
          <w:sz w:val="36"/>
          <w:szCs w:val="36"/>
        </w:rPr>
        <w:t xml:space="preserve">3  What the Parser Can Handle Automatically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760"/>
        <w:gridCol w:w="3000"/>
      </w:tblGrid>
      <w:tr>
        <w:trPr>
          <w:tblHeader/>
        </w:trPr>
        <w:tc>
          <w:tcPr>
            <w:tcW w:type="dxa" w:w="3600"/>
            <w:shd w:fill="0D6E6E" w:val="clear"/>
            <w:tcMar>
              <w:top w:type="dxa" w:w="100"/>
              <w:left w:type="dxa" w:w="130"/>
              <w:bottom w:type="dxa" w:w="100"/>
              <w:right w:type="dxa" w:w="100"/>
            </w:tcMar>
          </w:tcPr>
          <w:p>
            <w:r>
              <w:rPr>
                <w:rFonts w:ascii="Arial" w:cs="Arial" w:eastAsia="Arial" w:hAnsi="Arial"/>
                <w:b/>
                <w:bCs/>
                <w:color w:val="FFFFFF"/>
                <w:sz w:val="19"/>
                <w:szCs w:val="19"/>
              </w:rPr>
              <w:t xml:space="preserve">Strategy</w:t>
            </w:r>
          </w:p>
        </w:tc>
        <w:tc>
          <w:tcPr>
            <w:tcW w:type="dxa" w:w="2760"/>
            <w:shd w:fill="0D6E6E" w:val="clear"/>
            <w:tcMar>
              <w:top w:type="dxa" w:w="100"/>
              <w:left w:type="dxa" w:w="130"/>
              <w:bottom w:type="dxa" w:w="100"/>
              <w:right w:type="dxa" w:w="100"/>
            </w:tcMar>
          </w:tcPr>
          <w:p>
            <w:r>
              <w:rPr>
                <w:rFonts w:ascii="Arial" w:cs="Arial" w:eastAsia="Arial" w:hAnsi="Arial"/>
                <w:b/>
                <w:bCs/>
                <w:color w:val="FFFFFF"/>
                <w:sz w:val="19"/>
                <w:szCs w:val="19"/>
              </w:rPr>
              <w:t xml:space="preserve">Rows needed (Code)</w:t>
            </w:r>
          </w:p>
        </w:tc>
        <w:tc>
          <w:tcPr>
            <w:tcW w:type="dxa" w:w="3000"/>
            <w:shd w:fill="0D6E6E" w:val="clear"/>
            <w:tcMar>
              <w:top w:type="dxa" w:w="100"/>
              <w:left w:type="dxa" w:w="130"/>
              <w:bottom w:type="dxa" w:w="100"/>
              <w:right w:type="dxa" w:w="100"/>
            </w:tcMar>
          </w:tcPr>
          <w:p>
            <w:r>
              <w:rPr>
                <w:rFonts w:ascii="Arial" w:cs="Arial" w:eastAsia="Arial" w:hAnsi="Arial"/>
                <w:b/>
                <w:bCs/>
                <w:color w:val="FFFFFF"/>
                <w:sz w:val="19"/>
                <w:szCs w:val="19"/>
              </w:rPr>
              <w:t xml:space="preserve">Result</w:t>
            </w:r>
          </w:p>
        </w:tc>
      </w:tr>
      <w:tr>
        <w:tc>
          <w:tcPr>
            <w:tcW w:type="dxa" w:w="36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CSP — expires worthless</w:t>
            </w:r>
          </w:p>
        </w:tc>
        <w:tc>
          <w:tcPr>
            <w:tcW w:type="dxa" w:w="276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O (neg qty) + Ep</w:t>
            </w:r>
          </w:p>
        </w:tc>
        <w:tc>
          <w:tcPr>
            <w:tcW w:type="dxa" w:w="30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Closed CSP, full premium</w:t>
            </w:r>
          </w:p>
        </w:tc>
      </w:tr>
      <w:tr>
        <w:tc>
          <w:tcPr>
            <w:tcW w:type="dxa" w:w="36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CSP — closed early</w:t>
            </w:r>
          </w:p>
        </w:tc>
        <w:tc>
          <w:tcPr>
            <w:tcW w:type="dxa" w:w="276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O (neg qty) + C (pos qty)</w:t>
            </w:r>
          </w:p>
        </w:tc>
        <w:tc>
          <w:tcPr>
            <w:tcW w:type="dxa" w:w="30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Closed CSP, partial P&amp;L</w:t>
            </w:r>
          </w:p>
        </w:tc>
      </w:tr>
      <w:tr>
        <w:tc>
          <w:tcPr>
            <w:tcW w:type="dxa" w:w="36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CSP — assigned</w:t>
            </w:r>
          </w:p>
        </w:tc>
        <w:tc>
          <w:tcPr>
            <w:tcW w:type="dxa" w:w="276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O + A (option) + A (stock)</w:t>
            </w:r>
          </w:p>
        </w:tc>
        <w:tc>
          <w:tcPr>
            <w:tcW w:type="dxa" w:w="30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CSP closed + lot created</w:t>
            </w:r>
          </w:p>
        </w:tc>
      </w:tr>
      <w:tr>
        <w:tc>
          <w:tcPr>
            <w:tcW w:type="dxa" w:w="36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CC — expires worthless</w:t>
            </w:r>
          </w:p>
        </w:tc>
        <w:tc>
          <w:tcPr>
            <w:tcW w:type="dxa" w:w="276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O (neg qty) + Ep</w:t>
            </w:r>
          </w:p>
        </w:tc>
        <w:tc>
          <w:tcPr>
            <w:tcW w:type="dxa" w:w="30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Closed CC, premium kept</w:t>
            </w:r>
          </w:p>
        </w:tc>
      </w:tr>
      <w:tr>
        <w:tc>
          <w:tcPr>
            <w:tcW w:type="dxa" w:w="36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CC — closed early</w:t>
            </w:r>
          </w:p>
        </w:tc>
        <w:tc>
          <w:tcPr>
            <w:tcW w:type="dxa" w:w="276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O (neg qty) + C (pos qty)</w:t>
            </w:r>
          </w:p>
        </w:tc>
        <w:tc>
          <w:tcPr>
            <w:tcW w:type="dxa" w:w="30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Closed CC, partial P&amp;L</w:t>
            </w:r>
          </w:p>
        </w:tc>
      </w:tr>
      <w:tr>
        <w:tc>
          <w:tcPr>
            <w:tcW w:type="dxa" w:w="36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CC — called away</w:t>
            </w:r>
          </w:p>
        </w:tc>
        <w:tc>
          <w:tcPr>
            <w:tcW w:type="dxa" w:w="276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O (neg qty) + A (option) + A (stock)</w:t>
            </w:r>
          </w:p>
        </w:tc>
        <w:tc>
          <w:tcPr>
            <w:tcW w:type="dxa" w:w="30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CC closed + lot closed at strike</w:t>
            </w:r>
          </w:p>
        </w:tc>
      </w:tr>
      <w:tr>
        <w:tc>
          <w:tcPr>
            <w:tcW w:type="dxa" w:w="36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Shares purchased outright</w:t>
            </w:r>
          </w:p>
        </w:tc>
        <w:tc>
          <w:tcPr>
            <w:tcW w:type="dxa" w:w="276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Stocks row, O, positive qty</w:t>
            </w:r>
          </w:p>
        </w:tc>
        <w:tc>
          <w:tcPr>
            <w:tcW w:type="dxa" w:w="30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Stock lot created</w:t>
            </w:r>
          </w:p>
        </w:tc>
      </w:tr>
      <w:tr>
        <w:tc>
          <w:tcPr>
            <w:tcW w:type="dxa" w:w="36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Long Call / Long Put — closed</w:t>
            </w:r>
          </w:p>
        </w:tc>
        <w:tc>
          <w:tcPr>
            <w:tcW w:type="dxa" w:w="276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O (pos qty) + C (neg qty)</w:t>
            </w:r>
          </w:p>
        </w:tc>
        <w:tc>
          <w:tcPr>
            <w:tcW w:type="dxa" w:w="30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Closed with P&amp;L</w:t>
            </w:r>
          </w:p>
        </w:tc>
      </w:tr>
      <w:tr>
        <w:tc>
          <w:tcPr>
            <w:tcW w:type="dxa" w:w="36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Long Call / Long Put — expired</w:t>
            </w:r>
          </w:p>
        </w:tc>
        <w:tc>
          <w:tcPr>
            <w:tcW w:type="dxa" w:w="276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O (pos qty) + Ep</w:t>
            </w:r>
          </w:p>
        </w:tc>
        <w:tc>
          <w:tcPr>
            <w:tcW w:type="dxa" w:w="30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Expired worthless</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30A" w:sz="12"/>
              <w:left w:val="single" w:color="B7730A" w:sz="24"/>
              <w:bottom w:val="single" w:color="B7730A" w:sz="6"/>
              <w:right w:val="single" w:color="B7730A" w:sz="6"/>
            </w:tcBorders>
            <w:shd w:fill="FEF3CD" w:val="clear"/>
            <w:tcMar>
              <w:top w:type="dxa" w:w="100"/>
              <w:left w:type="dxa" w:w="130"/>
              <w:bottom w:type="dxa" w:w="100"/>
              <w:right w:type="dxa" w:w="100"/>
            </w:tcMar>
          </w:tcPr>
          <w:p>
            <w:r>
              <w:rPr>
                <w:rFonts w:ascii="Arial" w:cs="Arial" w:eastAsia="Arial" w:hAnsi="Arial"/>
                <w:b/>
                <w:bCs/>
                <w:color w:val="92600A"/>
                <w:sz w:val="20"/>
                <w:szCs w:val="20"/>
              </w:rPr>
              <w:t xml:space="preserve">⚠  </w:t>
            </w:r>
            <w:r>
              <w:rPr>
                <w:rFonts w:ascii="Arial" w:cs="Arial" w:eastAsia="Arial" w:hAnsi="Arial"/>
                <w:b/>
                <w:bCs/>
                <w:color w:val="92600A"/>
                <w:sz w:val="20"/>
                <w:szCs w:val="20"/>
              </w:rPr>
              <w:t xml:space="preserve">Strategies that cannot be automated:  </w:t>
            </w:r>
            <w:r>
              <w:rPr>
                <w:rFonts w:ascii="Arial" w:cs="Arial" w:eastAsia="Arial" w:hAnsi="Arial"/>
                <w:color w:val="1A1A1A"/>
                <w:sz w:val="20"/>
                <w:szCs w:val="20"/>
              </w:rPr>
              <w:t xml:space="preserve">Spreads, Iron Condors, Butterflies, Calendars, and Diagonals — IBKR imports each leg as a standalone trade. After import, delete the individual legs from the Trade Log and re-enter the full strategy via Log New Trade. Exercise events (Code Ex) are flagged in the Action Required panel.</w:t>
            </w:r>
          </w:p>
        </w:tc>
      </w:tr>
    </w:tbl>
    <w:p>
      <w:pPr>
        <w:spacing w:before="300"/>
      </w:pPr>
    </w:p>
    <w:p>
      <w:r>
        <w:br w:type="page"/>
      </w:r>
    </w:p>
    <w:p>
      <w:pPr>
        <w:pStyle w:val="Heading1"/>
        <w:pBdr>
          <w:bottom w:val="single" w:color="0D6E6E" w:sz="8" w:space="4"/>
        </w:pBdr>
        <w:spacing w:after="160" w:before="300"/>
      </w:pPr>
      <w:r>
        <w:rPr>
          <w:rFonts w:ascii="Arial" w:cs="Arial" w:eastAsia="Arial" w:hAnsi="Arial"/>
          <w:b/>
          <w:bCs/>
          <w:color w:val="1B2A4A"/>
          <w:sz w:val="36"/>
          <w:szCs w:val="36"/>
        </w:rPr>
        <w:t xml:space="preserve">4  How to Export from IBKR</w:t>
      </w:r>
    </w:p>
    <w:p>
      <w:pPr>
        <w:pStyle w:val="ListParagraph"/>
        <w:numPr>
          <w:ilvl w:val="0"/>
          <w:numId w:val="2"/>
        </w:numPr>
        <w:spacing w:after="40" w:before="40"/>
      </w:pPr>
      <w:r>
        <w:rPr>
          <w:rFonts w:ascii="Arial" w:cs="Arial" w:eastAsia="Arial" w:hAnsi="Arial"/>
          <w:sz w:val="21"/>
          <w:szCs w:val="21"/>
        </w:rPr>
        <w:t xml:space="preserve">Log in to IBKR Client Portal or TWS.</w:t>
      </w:r>
    </w:p>
    <w:p>
      <w:pPr>
        <w:pStyle w:val="ListParagraph"/>
        <w:numPr>
          <w:ilvl w:val="0"/>
          <w:numId w:val="2"/>
        </w:numPr>
        <w:spacing w:after="40" w:before="40"/>
      </w:pPr>
      <w:r>
        <w:rPr>
          <w:rFonts w:ascii="Arial" w:cs="Arial" w:eastAsia="Arial" w:hAnsi="Arial"/>
          <w:sz w:val="21"/>
          <w:szCs w:val="21"/>
        </w:rPr>
        <w:t xml:space="preserve">Go to Reports → Flex Queries → Create New Query.</w:t>
      </w:r>
    </w:p>
    <w:p>
      <w:pPr>
        <w:pStyle w:val="ListParagraph"/>
        <w:numPr>
          <w:ilvl w:val="0"/>
          <w:numId w:val="2"/>
        </w:numPr>
        <w:spacing w:after="40" w:before="40"/>
      </w:pPr>
      <w:r>
        <w:rPr>
          <w:rFonts w:ascii="Arial" w:cs="Arial" w:eastAsia="Arial" w:hAnsi="Arial"/>
          <w:sz w:val="21"/>
          <w:szCs w:val="21"/>
        </w:rPr>
        <w:t xml:space="preserve">Select Trade Confirmation report type.</w:t>
      </w:r>
    </w:p>
    <w:p>
      <w:pPr>
        <w:pStyle w:val="ListParagraph"/>
        <w:numPr>
          <w:ilvl w:val="0"/>
          <w:numId w:val="2"/>
        </w:numPr>
        <w:spacing w:after="40" w:before="40"/>
      </w:pPr>
      <w:r>
        <w:rPr>
          <w:rFonts w:ascii="Arial" w:cs="Arial" w:eastAsia="Arial" w:hAnsi="Arial"/>
          <w:sz w:val="21"/>
          <w:szCs w:val="21"/>
        </w:rPr>
        <w:t xml:space="preserve">Under Sections, enable Trades. Include columns: Symbol, Date/Time, Quantity, T. Price, Realized P/L, Code, Asset Category.</w:t>
      </w:r>
    </w:p>
    <w:p>
      <w:pPr>
        <w:pStyle w:val="ListParagraph"/>
        <w:numPr>
          <w:ilvl w:val="0"/>
          <w:numId w:val="2"/>
        </w:numPr>
        <w:spacing w:after="40" w:before="40"/>
      </w:pPr>
      <w:r>
        <w:rPr>
          <w:rFonts w:ascii="Arial" w:cs="Arial" w:eastAsia="Arial" w:hAnsi="Arial"/>
          <w:sz w:val="21"/>
          <w:szCs w:val="21"/>
        </w:rPr>
        <w:t xml:space="preserve">Set date range to your full history.</w:t>
      </w:r>
    </w:p>
    <w:p>
      <w:pPr>
        <w:pStyle w:val="ListParagraph"/>
        <w:numPr>
          <w:ilvl w:val="0"/>
          <w:numId w:val="2"/>
        </w:numPr>
        <w:spacing w:after="40" w:before="40"/>
      </w:pPr>
      <w:r>
        <w:rPr>
          <w:rFonts w:ascii="Arial" w:cs="Arial" w:eastAsia="Arial" w:hAnsi="Arial"/>
          <w:sz w:val="21"/>
          <w:szCs w:val="21"/>
        </w:rPr>
        <w:t xml:space="preserve">Run and download as CSV.</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12"/>
              <w:left w:val="single" w:color="0D6E6E" w:sz="24"/>
              <w:bottom w:val="single" w:color="0D6E6E" w:sz="6"/>
              <w:right w:val="single" w:color="0D6E6E" w:sz="6"/>
            </w:tcBorders>
            <w:shd w:fill="EAF4F4" w:val="clear"/>
            <w:tcMar>
              <w:top w:type="dxa" w:w="100"/>
              <w:left w:type="dxa" w:w="130"/>
              <w:bottom w:type="dxa" w:w="100"/>
              <w:right w:type="dxa" w:w="100"/>
            </w:tcMar>
          </w:tcPr>
          <w:p>
            <w:r>
              <w:rPr>
                <w:rFonts w:ascii="Arial" w:cs="Arial" w:eastAsia="Arial" w:hAnsi="Arial"/>
                <w:b/>
                <w:bCs/>
                <w:color w:val="0D6E6E"/>
                <w:sz w:val="20"/>
                <w:szCs w:val="20"/>
              </w:rPr>
              <w:t xml:space="preserve">💡  </w:t>
            </w:r>
            <w:r>
              <w:rPr>
                <w:rFonts w:ascii="Arial" w:cs="Arial" w:eastAsia="Arial" w:hAnsi="Arial"/>
                <w:b/>
                <w:bCs/>
                <w:color w:val="0D6E6E"/>
                <w:sz w:val="20"/>
                <w:szCs w:val="20"/>
              </w:rPr>
              <w:t xml:space="preserve">Tip — use the Activity Statement instead:  </w:t>
            </w:r>
            <w:r>
              <w:rPr>
                <w:rFonts w:ascii="Arial" w:cs="Arial" w:eastAsia="Arial" w:hAnsi="Arial"/>
                <w:color w:val="1A1A1A"/>
                <w:sz w:val="20"/>
                <w:szCs w:val="20"/>
              </w:rPr>
              <w:t xml:space="preserve">If Flex Queries are unfamiliar, you can also download the Activity Statement (Reports → Activity → Custom Date Range). The parser reads both formats. Make sure “Options” is checked under Trade Type.</w:t>
            </w:r>
          </w:p>
        </w:tc>
      </w:tr>
    </w:tbl>
    <w:p>
      <w:pPr>
        <w:spacing w:before="200"/>
      </w:pPr>
    </w:p>
    <w:p>
      <w:pPr>
        <w:pStyle w:val="Heading1"/>
        <w:pBdr>
          <w:bottom w:val="single" w:color="0D6E6E" w:sz="8" w:space="4"/>
        </w:pBdr>
        <w:spacing w:after="160" w:before="300"/>
      </w:pPr>
      <w:r>
        <w:rPr>
          <w:rFonts w:ascii="Arial" w:cs="Arial" w:eastAsia="Arial" w:hAnsi="Arial"/>
          <w:b/>
          <w:bCs/>
          <w:color w:val="1B2A4A"/>
          <w:sz w:val="36"/>
          <w:szCs w:val="36"/>
        </w:rPr>
        <w:t xml:space="preserve">5  The END Marker Rule</w:t>
      </w:r>
    </w:p>
    <w:p>
      <w:pPr>
        <w:spacing w:after="80" w:before="60"/>
      </w:pPr>
      <w:r>
        <w:rPr>
          <w:rFonts w:ascii="Arial" w:cs="Arial" w:eastAsia="Arial" w:hAnsi="Arial"/>
          <w:sz w:val="21"/>
          <w:szCs w:val="21"/>
        </w:rPr>
        <w:t xml:space="preserve">Add a row containing just the word END after every complete lot history. This tells the parser where one wheel position ends and the next begins. Without END markers the parser cannot distinguish multiple positions in the same ticker.</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12"/>
              <w:left w:val="single" w:color="0D6E6E" w:sz="24"/>
              <w:bottom w:val="single" w:color="0D6E6E" w:sz="6"/>
              <w:right w:val="single" w:color="0D6E6E" w:sz="6"/>
            </w:tcBorders>
            <w:shd w:fill="EAF4F4" w:val="clear"/>
            <w:tcMar>
              <w:top w:type="dxa" w:w="100"/>
              <w:left w:type="dxa" w:w="130"/>
              <w:bottom w:type="dxa" w:w="100"/>
              <w:right w:type="dxa" w:w="100"/>
            </w:tcMar>
          </w:tcPr>
          <w:p>
            <w:r>
              <w:rPr>
                <w:rFonts w:ascii="Arial" w:cs="Arial" w:eastAsia="Arial" w:hAnsi="Arial"/>
                <w:b/>
                <w:bCs/>
                <w:color w:val="0D6E6E"/>
                <w:sz w:val="20"/>
                <w:szCs w:val="20"/>
              </w:rPr>
              <w:t xml:space="preserve">💡  </w:t>
            </w:r>
            <w:r>
              <w:rPr>
                <w:rFonts w:ascii="Arial" w:cs="Arial" w:eastAsia="Arial" w:hAnsi="Arial"/>
                <w:b/>
                <w:bCs/>
                <w:color w:val="0D6E6E"/>
                <w:sz w:val="20"/>
                <w:szCs w:val="20"/>
              </w:rPr>
              <w:t xml:space="preserve">For IBKR, the END row sits between the closing trade row and the next opening trade row. It does not need any other columns.</w:t>
            </w:r>
            <w:r>
              <w:rPr>
                <w:rFonts w:ascii="Arial" w:cs="Arial" w:eastAsia="Arial" w:hAnsi="Arial"/>
                <w:color w:val="1A1A1A"/>
                <w:sz w:val="20"/>
                <w:szCs w:val="20"/>
              </w:rPr>
              <w:t xml:space="preserve"/>
            </w:r>
          </w:p>
        </w:tc>
      </w:tr>
    </w:tbl>
    <w:p>
      <w:pPr>
        <w:spacing w:before="200"/>
      </w:pPr>
    </w:p>
    <w:p>
      <w:pPr>
        <w:pStyle w:val="Heading1"/>
        <w:pBdr>
          <w:bottom w:val="single" w:color="0D6E6E" w:sz="8" w:space="4"/>
        </w:pBdr>
        <w:spacing w:after="160" w:before="300"/>
      </w:pPr>
      <w:r>
        <w:rPr>
          <w:rFonts w:ascii="Arial" w:cs="Arial" w:eastAsia="Arial" w:hAnsi="Arial"/>
          <w:b/>
          <w:bCs/>
          <w:color w:val="1B2A4A"/>
          <w:sz w:val="36"/>
          <w:szCs w:val="36"/>
        </w:rPr>
        <w:t xml:space="preserve">6  Step-by-Step CSV Examples</w:t>
      </w:r>
    </w:p>
    <w:p>
      <w:pPr>
        <w:pStyle w:val="Heading2"/>
        <w:spacing w:after="100" w:before="240"/>
      </w:pPr>
      <w:r>
        <w:rPr>
          <w:rFonts w:ascii="Arial" w:cs="Arial" w:eastAsia="Arial" w:hAnsi="Arial"/>
          <w:b/>
          <w:bCs/>
          <w:color w:val="0D6E6E"/>
          <w:sz w:val="28"/>
          <w:szCs w:val="28"/>
        </w:rPr>
        <w:t xml:space="preserve">6.1  Full Wheel (CSP → Assignment → CC → Called Away)</w:t>
      </w:r>
    </w:p>
    <w:p>
      <w:pPr>
        <w:spacing w:after="80" w:before="60"/>
      </w:pPr>
      <w:r>
        <w:rPr>
          <w:rFonts w:ascii="Arial" w:cs="Arial" w:eastAsia="Arial" w:hAnsi="Arial"/>
          <w:sz w:val="21"/>
          <w:szCs w:val="21"/>
        </w:rPr>
        <w:t xml:space="preserve">Note: IBKR emits a Stocks row alongside the option Assignment row. Both are needed.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2C3E50" w:val="clear"/>
            <w:tcMar>
              <w:top w:type="dxa" w:w="50"/>
              <w:left w:type="dxa" w:w="200"/>
              <w:bottom w:type="dxa" w:w="50"/>
              <w:right w:type="dxa" w:w="120"/>
            </w:tcMar>
          </w:tcPr>
          <w:p>
            <w:r>
              <w:rPr>
                <w:rFonts w:ascii="Courier New" w:cs="Courier New" w:eastAsia="Courier New" w:hAnsi="Courier New"/>
                <w:color w:val="FFFFFF"/>
                <w:sz w:val="17"/>
                <w:szCs w:val="17"/>
              </w:rPr>
              <w:t xml:space="preserve">Statement,Header / Trades,Header / ... (keep header rows at top)</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Trades,Data,Order,Equity and Index Options,USD,U1234567,AAPL 20260220 P00220000,2026-01-06;09:32,CBOE,-2,3.45,...,O</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Trades,Data,Order,Equity and Index Options,USD,U1234567,AAPL 20260220 P00220000,2026-02-20;09:00,CBOE,2,0,...,A</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Trades,Data,Order,Stocks,USD,U1234567,AAPL,2026-02-20;09:00,NASDAQ,200,220.00,...,A   ← lot created</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Trades,Data,Order,Equity and Index Options,USD,U1234567,AAPL 20260417 C00215000,2026-03-03;09:45,CBOE,-2,3.80,...,O</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Trades,Data,Order,Equity and Index Options,USD,U1234567,AAPL 20260417 C00215000,2026-03-21;10:15,CBOE,2,1.90,...,C</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Trades,Data,Order,Equity and Index Options,USD,U1234567,AAPL 20260516 C00220000,2026-03-25;09:32,CBOE,-2,5.10,...,O</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Trades,Data,Order,Equity and Index Options,USD,U1234567,AAPL 20260516 C00220000,2026-05-16;09:00,CBOE,2,0,...,A</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Trades,Data,Order,Stocks,USD,U1234567,AAPL,2026-05-16;09:00,NASDAQ,-200,220.00,...,A  ← lot closed</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END</w:t>
            </w:r>
          </w:p>
        </w:tc>
      </w:tr>
    </w:tbl>
    <w:p>
      <w:pPr>
        <w:spacing w:before="200"/>
      </w:pPr>
    </w:p>
    <w:p>
      <w:pPr>
        <w:pStyle w:val="Heading2"/>
        <w:spacing w:after="100" w:before="240"/>
      </w:pPr>
      <w:r>
        <w:rPr>
          <w:rFonts w:ascii="Arial" w:cs="Arial" w:eastAsia="Arial" w:hAnsi="Arial"/>
          <w:b/>
          <w:bCs/>
          <w:color w:val="0D6E6E"/>
          <w:sz w:val="28"/>
          <w:szCs w:val="28"/>
        </w:rPr>
        <w:t xml:space="preserve">6.2  CSP Expired Worthless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2C3E50" w:val="clear"/>
            <w:tcMar>
              <w:top w:type="dxa" w:w="50"/>
              <w:left w:type="dxa" w:w="200"/>
              <w:bottom w:type="dxa" w:w="50"/>
              <w:right w:type="dxa" w:w="120"/>
            </w:tcMar>
          </w:tcPr>
          <w:p>
            <w:r>
              <w:rPr>
                <w:rFonts w:ascii="Courier New" w:cs="Courier New" w:eastAsia="Courier New" w:hAnsi="Courier New"/>
                <w:color w:val="FFFFFF"/>
                <w:sz w:val="17"/>
                <w:szCs w:val="17"/>
              </w:rPr>
              <w:t xml:space="preserve">Trades,Data,Order,Equity and Index Options,USD,U1234567,NVDA 20260227 P00125000,2026-02-03;09:40,CBOE,-2,4.80,...,O</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Trades,Data,Order,Equity and Index Options,USD,U1234567,NVDA 20260227 P00125000,2026-02-27;16:00,CBOE,2,0,...,Ep</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END</w:t>
            </w:r>
          </w:p>
        </w:tc>
      </w:tr>
    </w:tbl>
    <w:p>
      <w:pPr>
        <w:spacing w:before="200"/>
      </w:pPr>
    </w:p>
    <w:p>
      <w:pPr>
        <w:pStyle w:val="Heading2"/>
        <w:spacing w:after="100" w:before="240"/>
      </w:pPr>
      <w:r>
        <w:rPr>
          <w:rFonts w:ascii="Arial" w:cs="Arial" w:eastAsia="Arial" w:hAnsi="Arial"/>
          <w:b/>
          <w:bCs/>
          <w:color w:val="0D6E6E"/>
          <w:sz w:val="28"/>
          <w:szCs w:val="28"/>
        </w:rPr>
        <w:t xml:space="preserve">6.3  CC Closed 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2C3E50" w:val="clear"/>
            <w:tcMar>
              <w:top w:type="dxa" w:w="50"/>
              <w:left w:type="dxa" w:w="200"/>
              <w:bottom w:type="dxa" w:w="50"/>
              <w:right w:type="dxa" w:w="120"/>
            </w:tcMar>
          </w:tcPr>
          <w:p>
            <w:r>
              <w:rPr>
                <w:rFonts w:ascii="Courier New" w:cs="Courier New" w:eastAsia="Courier New" w:hAnsi="Courier New"/>
                <w:color w:val="FFFFFF"/>
                <w:sz w:val="17"/>
                <w:szCs w:val="17"/>
              </w:rPr>
              <w:t xml:space="preserve">Trades,Data,Order,Equity and Index Options,USD,U1234567,MSFT 20260321 P00395000,2026-03-02;09:50,CBOE,-1,4.50,...,O</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Trades,Data,Order,Equity and Index Options,USD,U1234567,MSFT 20260321 P00395000,2026-03-10;14:20,CBOE,1,2.25,...,C</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END</w:t>
            </w:r>
          </w:p>
        </w:tc>
      </w:tr>
    </w:tbl>
    <w:p>
      <w:pPr>
        <w:spacing w:before="200"/>
      </w:pPr>
    </w:p>
    <w:p>
      <w:pPr>
        <w:pStyle w:val="Heading2"/>
        <w:spacing w:after="100" w:before="240"/>
      </w:pPr>
      <w:r>
        <w:rPr>
          <w:rFonts w:ascii="Arial" w:cs="Arial" w:eastAsia="Arial" w:hAnsi="Arial"/>
          <w:b/>
          <w:bCs/>
          <w:color w:val="0D6E6E"/>
          <w:sz w:val="28"/>
          <w:szCs w:val="28"/>
        </w:rPr>
        <w:t xml:space="preserve">6.4  Directional Long Call (between END markers)</w:t>
      </w:r>
    </w:p>
    <w:p>
      <w:pPr>
        <w:spacing w:after="80" w:before="60"/>
      </w:pPr>
      <w:r>
        <w:rPr>
          <w:rFonts w:ascii="Arial" w:cs="Arial" w:eastAsia="Arial" w:hAnsi="Arial"/>
          <w:sz w:val="21"/>
          <w:szCs w:val="21"/>
        </w:rPr>
        <w:t xml:space="preserve">Long Calls and Long Puts used as directional bets — no linked lot — are placed between END markers like any other strategy. The parser imports them as standalone trades.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2C3E50" w:val="clear"/>
            <w:tcMar>
              <w:top w:type="dxa" w:w="50"/>
              <w:left w:type="dxa" w:w="200"/>
              <w:bottom w:type="dxa" w:w="50"/>
              <w:right w:type="dxa" w:w="120"/>
            </w:tcMar>
          </w:tcPr>
          <w:p>
            <w:r>
              <w:rPr>
                <w:rFonts w:ascii="Courier New" w:cs="Courier New" w:eastAsia="Courier New" w:hAnsi="Courier New"/>
                <w:color w:val="FFFFFF"/>
                <w:sz w:val="17"/>
                <w:szCs w:val="17"/>
              </w:rPr>
              <w:t xml:space="preserve">Trades,Data,Order,Equity and Index Options,USD,U1234567,META 20260417 C00680000,2026-03-10;10:00,CBOE,1,12.30,...,O</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Trades,Data,Order,Equity and Index Options,USD,U1234567,META 20260417 C00680000,2026-04-04;11:30,CBOE,-1,6.80,...,C</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END</w:t>
            </w:r>
          </w:p>
        </w:tc>
      </w:tr>
    </w:tbl>
    <w:p>
      <w:pPr>
        <w:spacing w:before="300"/>
      </w:pPr>
    </w:p>
    <w:p>
      <w:r>
        <w:br w:type="page"/>
      </w:r>
    </w:p>
    <w:p>
      <w:pPr>
        <w:pStyle w:val="Heading1"/>
        <w:pBdr>
          <w:bottom w:val="single" w:color="0D6E6E" w:sz="8" w:space="4"/>
        </w:pBdr>
        <w:spacing w:after="160" w:before="300"/>
      </w:pPr>
      <w:r>
        <w:rPr>
          <w:rFonts w:ascii="Arial" w:cs="Arial" w:eastAsia="Arial" w:hAnsi="Arial"/>
          <w:b/>
          <w:bCs/>
          <w:color w:val="1B2A4A"/>
          <w:sz w:val="36"/>
          <w:szCs w:val="36"/>
        </w:rPr>
        <w:t xml:space="preserve">7  Post-Import Checklist</w:t>
      </w:r>
    </w:p>
    <w:p>
      <w:pPr>
        <w:pStyle w:val="ListParagraph"/>
        <w:numPr>
          <w:ilvl w:val="0"/>
          <w:numId w:val="2"/>
        </w:numPr>
        <w:spacing w:after="40" w:before="40"/>
      </w:pPr>
      <w:r>
        <w:rPr>
          <w:rFonts w:ascii="Arial" w:cs="Arial" w:eastAsia="Arial" w:hAnsi="Arial"/>
          <w:sz w:val="21"/>
          <w:szCs w:val="21"/>
        </w:rPr>
        <w:t xml:space="preserve">Link every Covered Call to its stock lot — Trade Log → Edit → Linked Stock Lot.</w:t>
      </w:r>
    </w:p>
    <w:p>
      <w:pPr>
        <w:pStyle w:val="ListParagraph"/>
        <w:numPr>
          <w:ilvl w:val="0"/>
          <w:numId w:val="2"/>
        </w:numPr>
        <w:spacing w:after="40" w:before="40"/>
      </w:pPr>
      <w:r>
        <w:rPr>
          <w:rFonts w:ascii="Arial" w:cs="Arial" w:eastAsia="Arial" w:hAnsi="Arial"/>
          <w:sz w:val="21"/>
          <w:szCs w:val="21"/>
        </w:rPr>
        <w:t xml:space="preserve">Review the Action Required panel for any Assignment or Exercise events flagged.</w:t>
      </w:r>
    </w:p>
    <w:p>
      <w:pPr>
        <w:pStyle w:val="ListParagraph"/>
        <w:numPr>
          <w:ilvl w:val="0"/>
          <w:numId w:val="2"/>
        </w:numPr>
        <w:spacing w:after="40" w:before="40"/>
      </w:pPr>
      <w:r>
        <w:rPr>
          <w:rFonts w:ascii="Arial" w:cs="Arial" w:eastAsia="Arial" w:hAnsi="Arial"/>
          <w:sz w:val="21"/>
          <w:szCs w:val="21"/>
        </w:rPr>
        <w:t xml:space="preserve">Delete any spread/IC/calendar legs and re-enter manually via Log New Trade.</w:t>
      </w:r>
    </w:p>
    <w:p>
      <w:pPr>
        <w:pStyle w:val="ListParagraph"/>
        <w:numPr>
          <w:ilvl w:val="0"/>
          <w:numId w:val="2"/>
        </w:numPr>
        <w:spacing w:after="40" w:before="40"/>
      </w:pPr>
      <w:r>
        <w:rPr>
          <w:rFonts w:ascii="Arial" w:cs="Arial" w:eastAsia="Arial" w:hAnsi="Arial"/>
          <w:sz w:val="21"/>
          <w:szCs w:val="21"/>
        </w:rPr>
        <w:t xml:space="preserve">Verify trade count against your IBKR Activity Statement.</w:t>
      </w:r>
    </w:p>
    <w:p>
      <w:pPr>
        <w:pStyle w:val="ListParagraph"/>
        <w:numPr>
          <w:ilvl w:val="0"/>
          <w:numId w:val="2"/>
        </w:numPr>
        <w:spacing w:after="40" w:before="40"/>
      </w:pPr>
      <w:r>
        <w:rPr>
          <w:rFonts w:ascii="Arial" w:cs="Arial" w:eastAsia="Arial" w:hAnsi="Arial"/>
          <w:sz w:val="21"/>
          <w:szCs w:val="21"/>
        </w:rPr>
        <w:t xml:space="preserve">Check Analytics — Gross Premium and Realised P&amp;L should match your statement.</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2"/>
              <w:left w:val="single" w:color="2E7D32" w:sz="24"/>
              <w:bottom w:val="single" w:color="2E7D32" w:sz="6"/>
              <w:right w:val="single" w:color="2E7D32" w:sz="6"/>
            </w:tcBorders>
            <w:shd w:fill="E8F5E9" w:val="clear"/>
            <w:tcMar>
              <w:top w:type="dxa" w:w="100"/>
              <w:left w:type="dxa" w:w="130"/>
              <w:bottom w:type="dxa" w:w="100"/>
              <w:right w:type="dxa" w:w="100"/>
            </w:tcMar>
          </w:tcPr>
          <w:p>
            <w:r>
              <w:rPr>
                <w:rFonts w:ascii="Arial" w:cs="Arial" w:eastAsia="Arial" w:hAnsi="Arial"/>
                <w:b/>
                <w:bCs/>
                <w:color w:val="1B5E20"/>
                <w:sz w:val="20"/>
                <w:szCs w:val="20"/>
              </w:rPr>
              <w:t xml:space="preserve">✓  </w:t>
            </w:r>
            <w:r>
              <w:rPr>
                <w:rFonts w:ascii="Arial" w:cs="Arial" w:eastAsia="Arial" w:hAnsi="Arial"/>
                <w:b/>
                <w:bCs/>
                <w:color w:val="1B5E20"/>
                <w:sz w:val="20"/>
                <w:szCs w:val="20"/>
              </w:rPr>
              <w:t xml:space="preserve">You are done.  </w:t>
            </w:r>
            <w:r>
              <w:rPr>
                <w:rFonts w:ascii="Arial" w:cs="Arial" w:eastAsia="Arial" w:hAnsi="Arial"/>
                <w:color w:val="1A1A1A"/>
                <w:sz w:val="20"/>
                <w:szCs w:val="20"/>
              </w:rPr>
              <w:t xml:space="preserve">From this point forward, log all new trades directly in MyOptionDiary. Do not import CSV files again.</w:t>
            </w:r>
          </w:p>
        </w:tc>
      </w:tr>
    </w:tbl>
    <w:p>
      <w:pPr>
        <w:spacing w:before="200"/>
      </w:pPr>
    </w:p>
    <w:p>
      <w:pPr>
        <w:pBdr>
          <w:top w:val="single" w:color="CCCCCC" w:sz="4" w:space="4"/>
        </w:pBdr>
        <w:spacing w:before="200"/>
      </w:pPr>
      <w:r>
        <w:rPr>
          <w:rFonts w:ascii="Arial" w:cs="Arial" w:eastAsia="Arial" w:hAnsi="Arial"/>
          <w:i/>
          <w:iCs/>
          <w:color w:val="5D6D7E"/>
          <w:sz w:val="17"/>
          <w:szCs w:val="17"/>
        </w:rPr>
        <w:t xml:space="preserve">MyOptionDiary — IBKR CSV Migration Guide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lvl w:ilvl="1" w15:tentative="1">
      <w:start w:val="1"/>
      <w:numFmt w:val="bullet"/>
      <w:lvlText w:val="◦"/>
      <w:lvlJc w:val="start"/>
      <w:pPr>
        <w:ind w:left="1080" w:hanging="360"/>
      </w:pPr>
    </w:lvl>
  </w:abstractNum>
  <w:abstractNum w:abstractNumId="3" w15:restartNumberingAfterBreak="0">
    <w:multiLevelType w:val="hybridMultilevel"/>
    <w:lvl w:ilvl="0" w15:tentative="1">
      <w:start w:val="1"/>
      <w:numFmt w:val="decimal"/>
      <w:lvlText w:val="%1."/>
      <w:lvlJc w:val="start"/>
      <w:pPr>
        <w:ind w:left="720" w:hanging="360"/>
      </w:pPr>
    </w:lvl>
    <w:lvl w:ilvl="1" w15:tentative="1">
      <w:start w:val="1"/>
      <w:numFmt w:val="decimal"/>
      <w:lvlText w:val="%2."/>
      <w:lvlJc w:val="star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0D6E6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2026-04-08T04:37:55.883Z</dcterms:created>
  <dcterms:modified xsi:type="dcterms:W3CDTF">2026-04-08T04:37:55.883Z</dcterms:modified>
</cp:coreProperties>
</file>

<file path=docProps/custom.xml><?xml version="1.0" encoding="utf-8"?>
<Properties xmlns="http://schemas.openxmlformats.org/officeDocument/2006/custom-properties" xmlns:vt="http://schemas.openxmlformats.org/officeDocument/2006/docPropsVTypes"/>
</file>