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Arial" w:cs="Arial" w:eastAsia="Arial" w:hAnsi="Arial"/>
          <w:b/>
          <w:bCs/>
          <w:color w:val="1F4E79"/>
          <w:sz w:val="48"/>
          <w:szCs w:val="48"/>
        </w:rPr>
        <w:t xml:space="preserve">MyOptionDiary</w:t>
      </w:r>
    </w:p>
    <w:p>
      <w:pPr>
        <w:spacing w:after="80"/>
      </w:pPr>
      <w:r>
        <w:t xml:space="preserve"/>
      </w:r>
    </w:p>
    <w:p>
      <w:pPr>
        <w:jc w:val="center"/>
      </w:pPr>
      <w:r>
        <w:rPr>
          <w:rFonts w:ascii="Arial" w:cs="Arial" w:eastAsia="Arial" w:hAnsi="Arial"/>
          <w:b/>
          <w:bCs/>
          <w:color w:val="2E75B6"/>
          <w:sz w:val="36"/>
          <w:szCs w:val="36"/>
        </w:rPr>
        <w:t xml:space="preserve">Manual CSV Import</w:t>
      </w:r>
    </w:p>
    <w:p>
      <w:pPr>
        <w:spacing w:after="80"/>
      </w:pPr>
      <w:r>
        <w:t xml:space="preserve"/>
      </w:r>
    </w:p>
    <w:p>
      <w:pPr>
        <w:jc w:val="center"/>
      </w:pPr>
      <w:r>
        <w:rPr>
          <w:rFonts w:ascii="Arial" w:cs="Arial" w:eastAsia="Arial" w:hAnsi="Arial"/>
          <w:color w:val="666666"/>
          <w:sz w:val="28"/>
          <w:szCs w:val="28"/>
        </w:rPr>
        <w:t xml:space="preserve">Specification &amp; Guide</w:t>
      </w:r>
    </w:p>
    <w:p>
      <w:pPr>
        <w:spacing w:after="200"/>
      </w:pPr>
      <w:r>
        <w:t xml:space="preserve"/>
      </w:r>
    </w:p>
    <w:p>
      <w:pPr>
        <w:jc w:val="center"/>
      </w:pPr>
      <w:r>
        <w:rPr>
          <w:rFonts w:ascii="Arial" w:cs="Arial" w:eastAsia="Arial" w:hAnsi="Arial"/>
          <w:color w:val="888888"/>
          <w:sz w:val="20"/>
          <w:szCs w:val="20"/>
        </w:rPr>
        <w:t xml:space="preserve">Version 19  ·  April 2026</w:t>
      </w:r>
    </w:p>
    <w:p>
      <w:pPr>
        <w:jc w:val="center"/>
      </w:pPr>
      <w:r>
        <w:rPr>
          <w:rFonts w:ascii="Arial" w:cs="Arial" w:eastAsia="Arial" w:hAnsi="Arial"/>
          <w:i/>
          <w:iCs/>
          <w:color w:val="888888"/>
          <w:sz w:val="20"/>
          <w:szCs w:val="20"/>
        </w:rPr>
        <w:t xml:space="preserve">For loading existing trade history from a spreadsheet</w:t>
      </w:r>
    </w:p>
    <w:p>
      <w:pPr>
        <w:spacing w:after="600"/>
      </w:pPr>
      <w:r>
        <w:t xml:space="preserve"/>
      </w:r>
    </w:p>
    <w:p>
      <w:pPr>
        <w:pBdr>
          <w:top w:val="single" w:color="2E75B6" w:sz="6" w:space="1"/>
        </w:pBdr>
        <w:jc w:val="center"/>
      </w:pPr>
      <w:r>
        <w:t xml:space="preserve"/>
      </w:r>
    </w:p>
    <w:p>
      <w:pPr>
        <w:pStyle w:val="Heading1"/>
        <w:spacing w:after="120" w:before="300"/>
      </w:pPr>
      <w:r>
        <w:rPr>
          <w:rFonts w:ascii="Arial" w:cs="Arial" w:eastAsia="Arial" w:hAnsi="Arial"/>
          <w:b/>
          <w:bCs/>
          <w:color w:val="1F4E79"/>
          <w:sz w:val="32"/>
          <w:szCs w:val="32"/>
        </w:rPr>
        <w:t xml:space="preserve">1  Overview</w:t>
      </w:r>
    </w:p>
    <w:p>
      <w:pPr>
        <w:spacing w:after="120"/>
      </w:pPr>
      <w:r>
        <w:rPr>
          <w:rFonts w:ascii="Arial" w:cs="Arial" w:eastAsia="Arial" w:hAnsi="Arial"/>
          <w:sz w:val="20"/>
          <w:szCs w:val="20"/>
        </w:rPr>
        <w:t xml:space="preserve">This document specifies every field required to load trades from an existing spreadsheet into MyOptionDiary. If your trade history lives in Excel, Google Sheets, or any other tool, export it as a CSV using the column names described here, then import it using the Manual / Spreadsheet path in the app.</w:t>
      </w:r>
    </w:p>
    <w:p>
      <w:pPr>
        <w:spacing w:after="120"/>
      </w:pPr>
      <w:r>
        <w:rPr>
          <w:rFonts w:ascii="Arial" w:cs="Arial" w:eastAsia="Arial" w:hAnsi="Arial"/>
          <w:sz w:val="20"/>
          <w:szCs w:val="20"/>
        </w:rPr>
        <w:t xml:space="preserve">The app reads the CSV row by row. Each row represents one complete trade — or a stock lot action (share purchase, CSP assignment, or called away). The column names in the first row must match the Field Names in this document (case-insensitive). Columns can be in any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  Important</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This specification is for a MANUAL spreadsheet export — not a broker export.</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If you are exporting from Schwab, Tastytrade, IBKR, or Robinhood, use the</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broker-specific import path instead.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Note</w:t>
            </w:r>
          </w:p>
        </w:tc>
      </w:tr>
      <w:tr>
        <w:tc>
          <w:tcPr>
            <w:tcW w:type="dxa" w:w="9360"/>
            <w:tcBorders>
              <w:top w:val="nil" w:color="FFFFFF" w:sz="0"/>
              <w:left w:val="single" w:color="2E75B6" w:sz="8"/>
              <w:bottom w:val="nil" w:color="FFFFFF" w:sz="0"/>
              <w:right w:val="nil" w:color="FFFFFF" w:sz="0"/>
            </w:tcBorders>
            <w:shd w:fill="DEEAF1" w:val="clear"/>
            <w:tcMar>
              <w:top w:type="dxa" w:w="80"/>
              <w:left w:type="dxa" w:w="200"/>
              <w:bottom w:type="dxa" w:w="80"/>
              <w:right w:type="dxa" w:w="120"/>
            </w:tcMar>
          </w:tcPr>
          <w:p>
            <w:r>
              <w:rPr>
                <w:rFonts w:ascii="Arial" w:cs="Arial" w:eastAsia="Arial" w:hAnsi="Arial"/>
                <w:sz w:val="20"/>
                <w:szCs w:val="20"/>
              </w:rPr>
              <w:t xml:space="preserve">Import path: Trade Log → Import Trades → CSV Upload → Manual / Spreadsheet.</w:t>
            </w:r>
          </w:p>
        </w:tc>
      </w:tr>
      <w:tr>
        <w:tc>
          <w:tcPr>
            <w:tcW w:type="dxa" w:w="9360"/>
            <w:tcBorders>
              <w:top w:val="nil" w:color="FFFFFF" w:sz="0"/>
              <w:left w:val="single" w:color="2E75B6" w:sz="8"/>
              <w:bottom w:val="nil" w:color="FFFFFF" w:sz="0"/>
              <w:right w:val="nil" w:color="FFFFFF" w:sz="0"/>
            </w:tcBorders>
            <w:shd w:fill="DEEAF1" w:val="clear"/>
            <w:tcMar>
              <w:top w:type="dxa" w:w="80"/>
              <w:left w:type="dxa" w:w="200"/>
              <w:bottom w:type="dxa" w:w="80"/>
              <w:right w:type="dxa" w:w="120"/>
            </w:tcMar>
          </w:tcPr>
          <w:p>
            <w:r>
              <w:rPr>
                <w:rFonts w:ascii="Arial" w:cs="Arial" w:eastAsia="Arial" w:hAnsi="Arial"/>
                <w:sz w:val="20"/>
                <w:szCs w:val="20"/>
              </w:rPr>
              <w:t xml:space="preserve">Download the Sample CSV on that screen — it contains all 14 strategies plus</w:t>
            </w:r>
          </w:p>
        </w:tc>
      </w:tr>
      <w:tr>
        <w:tc>
          <w:tcPr>
            <w:tcW w:type="dxa" w:w="9360"/>
            <w:tcBorders>
              <w:top w:val="nil" w:color="FFFFFF" w:sz="0"/>
              <w:left w:val="single" w:color="2E75B6" w:sz="8"/>
              <w:bottom w:val="nil" w:color="FFFFFF" w:sz="0"/>
              <w:right w:val="nil" w:color="FFFFFF" w:sz="0"/>
            </w:tcBorders>
            <w:shd w:fill="DEEAF1" w:val="clear"/>
            <w:tcMar>
              <w:top w:type="dxa" w:w="80"/>
              <w:left w:type="dxa" w:w="200"/>
              <w:bottom w:type="dxa" w:w="80"/>
              <w:right w:type="dxa" w:w="120"/>
            </w:tcMar>
          </w:tcPr>
          <w:p>
            <w:r>
              <w:rPr>
                <w:rFonts w:ascii="Arial" w:cs="Arial" w:eastAsia="Arial" w:hAnsi="Arial"/>
                <w:sz w:val="20"/>
                <w:szCs w:val="20"/>
              </w:rPr>
              <w:t xml:space="preserve">stock lot rows (Stock Purchase, CSP Assignment, Called Away) already formatted.</w:t>
            </w:r>
          </w:p>
        </w:tc>
      </w:tr>
    </w:tbl>
    <w:p>
      <w:pPr>
        <w:pStyle w:val="Heading1"/>
        <w:spacing w:after="120" w:before="300"/>
      </w:pPr>
      <w:r>
        <w:rPr>
          <w:rFonts w:ascii="Arial" w:cs="Arial" w:eastAsia="Arial" w:hAnsi="Arial"/>
          <w:b/>
          <w:bCs/>
          <w:color w:val="1F4E79"/>
          <w:sz w:val="32"/>
          <w:szCs w:val="32"/>
        </w:rPr>
        <w:t xml:space="preserve">2  The END Marker</w:t>
      </w:r>
    </w:p>
    <w:p>
      <w:pPr>
        <w:spacing w:after="120"/>
      </w:pPr>
      <w:r>
        <w:rPr>
          <w:rFonts w:ascii="Arial" w:cs="Arial" w:eastAsia="Arial" w:hAnsi="Arial"/>
          <w:sz w:val="20"/>
          <w:szCs w:val="20"/>
        </w:rPr>
        <w:t xml:space="preserve">The END marker is an optional separator row. When the app encounters a row containing just the word END (any case), it skips that row silently — no validation is applied, and it never appears in the skipped row count.</w:t>
      </w:r>
    </w:p>
    <w:p>
      <w:pPr>
        <w:spacing w:after="80"/>
      </w:pPr>
      <w:r>
        <w:t xml:space="preserve"/>
      </w:r>
    </w:p>
    <w:p>
      <w:pPr>
        <w:pStyle w:val="Heading2"/>
        <w:spacing w:after="100" w:before="240"/>
      </w:pPr>
      <w:r>
        <w:rPr>
          <w:rFonts w:ascii="Arial" w:cs="Arial" w:eastAsia="Arial" w:hAnsi="Arial"/>
          <w:b/>
          <w:bCs/>
          <w:color w:val="2E75B6"/>
          <w:sz w:val="26"/>
          <w:szCs w:val="26"/>
        </w:rPr>
        <w:t xml:space="preserve">What END does</w:t>
      </w:r>
    </w:p>
    <w:p>
      <w:pPr>
        <w:spacing w:after="120"/>
      </w:pPr>
      <w:r>
        <w:rPr>
          <w:rFonts w:ascii="Arial" w:cs="Arial" w:eastAsia="Arial" w:hAnsi="Arial"/>
          <w:sz w:val="20"/>
          <w:szCs w:val="20"/>
        </w:rPr>
        <w:t xml:space="preserve">END is a visual separator between logical groups of trades. It has no effect on how the app processes the rows above or below it. Every trade row and lot row is imported independently. END does not link rows together, trigger any special processing, affect P&amp;L, or close a trade.</w:t>
      </w:r>
    </w:p>
    <w:p>
      <w:pPr>
        <w:spacing w:after="80"/>
      </w:pPr>
      <w:r>
        <w:t xml:space="preserve"/>
      </w:r>
    </w:p>
    <w:p>
      <w:pPr>
        <w:pStyle w:val="Heading2"/>
        <w:spacing w:after="100" w:before="240"/>
      </w:pPr>
      <w:r>
        <w:rPr>
          <w:rFonts w:ascii="Arial" w:cs="Arial" w:eastAsia="Arial" w:hAnsi="Arial"/>
          <w:b/>
          <w:bCs/>
          <w:color w:val="2E75B6"/>
          <w:sz w:val="26"/>
          <w:szCs w:val="26"/>
        </w:rPr>
        <w:t xml:space="preserve">Why you should use it</w:t>
      </w:r>
    </w:p>
    <w:p>
      <w:pPr>
        <w:spacing w:after="120"/>
      </w:pPr>
      <w:r>
        <w:rPr>
          <w:rFonts w:ascii="Arial" w:cs="Arial" w:eastAsia="Arial" w:hAnsi="Arial"/>
          <w:sz w:val="20"/>
          <w:szCs w:val="20"/>
        </w:rPr>
        <w:t xml:space="preserve">Using END makes your spreadsheet self-documenting. A common pattern for wheel traders is to group all rows for one position together — stock purchase, CSPs, assignments, covered calls, called away — and place END after the final row before moving to the next position. This makes it easy to verify that every piece of a wheel cycle was captured.</w:t>
      </w:r>
    </w:p>
    <w:p>
      <w:pPr>
        <w:spacing w:after="80"/>
      </w:pPr>
      <w:r>
        <w:t xml:space="preserve"/>
      </w:r>
    </w:p>
    <w:p>
      <w:pPr>
        <w:spacing w:after="120"/>
      </w:pPr>
      <w:r>
        <w:rPr>
          <w:rFonts w:ascii="Arial" w:cs="Arial" w:eastAsia="Arial" w:hAnsi="Arial"/>
          <w:i/>
          <w:iCs/>
          <w:sz w:val="20"/>
          <w:szCs w:val="20"/>
        </w:rPr>
        <w:t xml:space="preserve">Example: a full wheel cycle for TSLA, grouped with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 --- TSLA wheel cycle ---</w:t>
            </w:r>
          </w:p>
          <w:p>
            <w:pPr>
              <w:spacing w:after="0"/>
            </w:pPr>
            <w:r>
              <w:rPr>
                <w:rFonts w:ascii="Courier New" w:cs="Courier New" w:eastAsia="Courier New" w:hAnsi="Courier New"/>
                <w:color w:val="D4D4D4"/>
                <w:sz w:val="18"/>
                <w:szCs w:val="18"/>
              </w:rPr>
              <w:t xml:space="preserve">TSLA,Cash-Secured Put,closed,2026-01-15,2026-02-21,9.80,1,,310,310.00,2026-02-21,...</w:t>
            </w:r>
          </w:p>
          <w:p>
            <w:pPr>
              <w:spacing w:after="0"/>
            </w:pPr>
            <w:r>
              <w:rPr>
                <w:rFonts w:ascii="Courier New" w:cs="Courier New" w:eastAsia="Courier New" w:hAnsi="Courier New"/>
                <w:color w:val="D4D4D4"/>
                <w:sz w:val="18"/>
                <w:szCs w:val="18"/>
              </w:rPr>
              <w:t xml:space="preserve">TSLA,CSP Assignment,,2026-02-21,,310.00,100,,,,2026-02-21,...</w:t>
            </w:r>
          </w:p>
          <w:p>
            <w:pPr>
              <w:spacing w:after="0"/>
            </w:pPr>
            <w:r>
              <w:rPr>
                <w:rFonts w:ascii="Courier New" w:cs="Courier New" w:eastAsia="Courier New" w:hAnsi="Courier New"/>
                <w:color w:val="D4D4D4"/>
                <w:sz w:val="18"/>
                <w:szCs w:val="18"/>
              </w:rPr>
              <w:t xml:space="preserve">TSLA,Covered Call,closed,2026-02-25,2026-03-21,9.20,1,320,,0,2026-03-21,...</w:t>
            </w:r>
          </w:p>
          <w:p>
            <w:pPr>
              <w:spacing w:after="0"/>
            </w:pPr>
            <w:r>
              <w:rPr>
                <w:rFonts w:ascii="Courier New" w:cs="Courier New" w:eastAsia="Courier New" w:hAnsi="Courier New"/>
                <w:color w:val="D4D4D4"/>
                <w:sz w:val="18"/>
                <w:szCs w:val="18"/>
              </w:rPr>
              <w:t xml:space="preserve">TSLA,Covered Call,closed,2026-03-25,2026-04-17,8.40,1,325,,325.00,2026-04-17,...</w:t>
            </w:r>
          </w:p>
          <w:p>
            <w:pPr>
              <w:spacing w:after="0"/>
            </w:pPr>
            <w:r>
              <w:rPr>
                <w:rFonts w:ascii="Courier New" w:cs="Courier New" w:eastAsia="Courier New" w:hAnsi="Courier New"/>
                <w:color w:val="D4D4D4"/>
                <w:sz w:val="18"/>
                <w:szCs w:val="18"/>
              </w:rPr>
              <w:t xml:space="preserve">TSLA,Called Away,,,,,,,,325.00,2026-04-17,...</w:t>
            </w:r>
          </w:p>
          <w:p>
            <w:pPr>
              <w:spacing w:after="0"/>
            </w:pPr>
            <w:r>
              <w:rPr>
                <w:rFonts w:ascii="Courier New" w:cs="Courier New" w:eastAsia="Courier New" w:hAnsi="Courier New"/>
                <w:color w:val="D4D4D4"/>
                <w:sz w:val="18"/>
                <w:szCs w:val="18"/>
              </w:rPr>
              <w:t xml:space="preserve">END</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next position ---</w:t>
            </w:r>
          </w:p>
          <w:p>
            <w:pPr>
              <w:spacing w:after="0"/>
            </w:pPr>
            <w:r>
              <w:rPr>
                <w:rFonts w:ascii="Courier New" w:cs="Courier New" w:eastAsia="Courier New" w:hAnsi="Courier New"/>
                <w:color w:val="D4D4D4"/>
                <w:sz w:val="18"/>
                <w:szCs w:val="18"/>
              </w:rPr>
              <w:t xml:space="preserve">ABBV,Stock Purchase,,2026-01-10,,168.50,100,...</w:t>
            </w:r>
          </w:p>
          <w:p>
            <w:pPr>
              <w:spacing w:after="0"/>
            </w:pPr>
            <w:r>
              <w:rPr>
                <w:rFonts w:ascii="Courier New" w:cs="Courier New" w:eastAsia="Courier New" w:hAnsi="Courier New"/>
                <w:color w:val="D4D4D4"/>
                <w:sz w:val="18"/>
                <w:szCs w:val="18"/>
              </w:rPr>
              <w:t xml:space="preserve">ABBV,Covered Call,open,...</w:t>
            </w:r>
          </w:p>
          <w:p>
            <w:pPr>
              <w:spacing w:after="0"/>
            </w:pPr>
            <w:r>
              <w:rPr>
                <w:rFonts w:ascii="Courier New" w:cs="Courier New" w:eastAsia="Courier New" w:hAnsi="Courier New"/>
                <w:color w:val="D4D4D4"/>
                <w:sz w:val="18"/>
                <w:szCs w:val="18"/>
              </w:rPr>
              <w:t xml:space="preserve">END</w:t>
            </w:r>
          </w:p>
        </w:tc>
      </w:tr>
    </w:tbl>
    <w:p>
      <w:pPr>
        <w:spacing w:after="80"/>
      </w:pPr>
      <w:r>
        <w:t xml:space="preserve"/>
      </w:r>
    </w:p>
    <w:p>
      <w:pPr>
        <w:pStyle w:val="Heading2"/>
        <w:spacing w:after="100" w:before="240"/>
      </w:pPr>
      <w:r>
        <w:rPr>
          <w:rFonts w:ascii="Arial" w:cs="Arial" w:eastAsia="Arial" w:hAnsi="Arial"/>
          <w:b/>
          <w:bCs/>
          <w:color w:val="2E75B6"/>
          <w:sz w:val="26"/>
          <w:szCs w:val="26"/>
        </w:rPr>
        <w:t xml:space="preserve">END rules</w:t>
      </w:r>
    </w:p>
    <w:p>
      <w:pPr>
        <w:pStyle w:val="ListParagraph"/>
        <w:numPr>
          <w:ilvl w:val="0"/>
          <w:numId w:val="2"/>
        </w:numPr>
        <w:spacing w:after="80"/>
      </w:pPr>
      <w:r>
        <w:rPr>
          <w:rFonts w:ascii="Arial" w:cs="Arial" w:eastAsia="Arial" w:hAnsi="Arial"/>
          <w:sz w:val="20"/>
          <w:szCs w:val="20"/>
        </w:rPr>
        <w:t xml:space="preserve">END must appear on its own line — nothing else on that line.</w:t>
      </w:r>
    </w:p>
    <w:p>
      <w:pPr>
        <w:pStyle w:val="ListParagraph"/>
        <w:numPr>
          <w:ilvl w:val="0"/>
          <w:numId w:val="2"/>
        </w:numPr>
        <w:spacing w:after="80"/>
      </w:pPr>
      <w:r>
        <w:rPr>
          <w:rFonts w:ascii="Arial" w:cs="Arial" w:eastAsia="Arial" w:hAnsi="Arial"/>
          <w:sz w:val="20"/>
          <w:szCs w:val="20"/>
        </w:rPr>
        <w:t xml:space="preserve">Upper or lower case both accepted: END, end, End are all equivalent.</w:t>
      </w:r>
    </w:p>
    <w:p>
      <w:pPr>
        <w:pStyle w:val="ListParagraph"/>
        <w:numPr>
          <w:ilvl w:val="0"/>
          <w:numId w:val="2"/>
        </w:numPr>
        <w:spacing w:after="80"/>
      </w:pPr>
      <w:r>
        <w:rPr>
          <w:rFonts w:ascii="Arial" w:cs="Arial" w:eastAsia="Arial" w:hAnsi="Arial"/>
          <w:sz w:val="20"/>
          <w:szCs w:val="20"/>
        </w:rPr>
        <w:t xml:space="preserve">END is not required. Files without END markers import identically.</w:t>
      </w:r>
    </w:p>
    <w:p>
      <w:pPr>
        <w:pStyle w:val="ListParagraph"/>
        <w:numPr>
          <w:ilvl w:val="0"/>
          <w:numId w:val="2"/>
        </w:numPr>
        <w:spacing w:after="80"/>
      </w:pPr>
      <w:r>
        <w:rPr>
          <w:rFonts w:ascii="Arial" w:cs="Arial" w:eastAsia="Arial" w:hAnsi="Arial"/>
          <w:sz w:val="20"/>
          <w:szCs w:val="20"/>
        </w:rPr>
        <w:t xml:space="preserve">END rows are never counted in the skipped row total.</w:t>
      </w:r>
    </w:p>
    <w:p>
      <w:pPr>
        <w:pStyle w:val="ListParagraph"/>
        <w:numPr>
          <w:ilvl w:val="0"/>
          <w:numId w:val="2"/>
        </w:numPr>
        <w:spacing w:after="80"/>
      </w:pPr>
      <w:r>
        <w:rPr>
          <w:rFonts w:ascii="Arial" w:cs="Arial" w:eastAsia="Arial" w:hAnsi="Arial"/>
          <w:sz w:val="20"/>
          <w:szCs w:val="20"/>
        </w:rPr>
        <w:t xml:space="preserve">Multiple consecutive END rows are harmless — all are silently skipped.</w:t>
      </w:r>
    </w:p>
    <w:p>
      <w:pPr>
        <w:pStyle w:val="ListParagraph"/>
        <w:numPr>
          <w:ilvl w:val="0"/>
          <w:numId w:val="2"/>
        </w:numPr>
        <w:spacing w:after="80"/>
      </w:pPr>
      <w:r>
        <w:rPr>
          <w:rFonts w:ascii="Arial" w:cs="Arial" w:eastAsia="Arial" w:hAnsi="Arial"/>
          <w:sz w:val="20"/>
          <w:szCs w:val="20"/>
        </w:rPr>
        <w:t xml:space="preserve">Comment rows starting with # are also silently skipped.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  Important</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Do not use END as a value in a data column. A row like</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AAPL,END,open,... will be parsed as a trade with strategy = "END"</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and will be rejected with an "unknown strategy" error.</w:t>
            </w:r>
          </w:p>
        </w:tc>
      </w:tr>
    </w:tbl>
    <w:p>
      <w:pPr>
        <w:pStyle w:val="Heading1"/>
        <w:spacing w:after="120" w:before="300"/>
      </w:pPr>
      <w:r>
        <w:rPr>
          <w:rFonts w:ascii="Arial" w:cs="Arial" w:eastAsia="Arial" w:hAnsi="Arial"/>
          <w:b/>
          <w:bCs/>
          <w:color w:val="1F4E79"/>
          <w:sz w:val="32"/>
          <w:szCs w:val="32"/>
        </w:rPr>
        <w:t xml:space="preserve">3  Stock Lot Rows</w:t>
      </w:r>
    </w:p>
    <w:p>
      <w:pPr>
        <w:spacing w:after="120"/>
      </w:pPr>
      <w:r>
        <w:rPr>
          <w:rFonts w:ascii="Arial" w:cs="Arial" w:eastAsia="Arial" w:hAnsi="Arial"/>
          <w:sz w:val="20"/>
          <w:szCs w:val="20"/>
        </w:rPr>
        <w:t xml:space="preserve">The manual CSV supports three reserved row types that create or close stock lots. These are not option trades — they use the same column layout as option rows but trigger lot operations in the app.</w:t>
      </w:r>
    </w:p>
    <w:p>
      <w:pPr>
        <w:spacing w:after="80"/>
      </w:pPr>
      <w:r>
        <w:t xml:space="preserve"/>
      </w:r>
    </w:p>
    <w:p>
      <w:pPr>
        <w:pStyle w:val="Heading2"/>
        <w:spacing w:after="100" w:before="240"/>
      </w:pPr>
      <w:r>
        <w:rPr>
          <w:rFonts w:ascii="Arial" w:cs="Arial" w:eastAsia="Arial" w:hAnsi="Arial"/>
          <w:b/>
          <w:bCs/>
          <w:color w:val="2E75B6"/>
          <w:sz w:val="26"/>
          <w:szCs w:val="26"/>
        </w:rPr>
        <w:t xml:space="preserve">Why lot rows matter</w:t>
      </w:r>
    </w:p>
    <w:p>
      <w:pPr>
        <w:spacing w:after="120"/>
      </w:pPr>
      <w:r>
        <w:rPr>
          <w:rFonts w:ascii="Arial" w:cs="Arial" w:eastAsia="Arial" w:hAnsi="Arial"/>
          <w:sz w:val="20"/>
          <w:szCs w:val="20"/>
        </w:rPr>
        <w:t xml:space="preserve">Covered Calls must be linked to a stock lot to enable cost basis reduction, the Called Away workflow, and Wheel Cycle P&amp;L. If you are importing a full wheel history, you need to tell the app where the shares came from. There are two ways shares arrive: you bought them outright (Stock Purchase), or you were assigned on a Cash-Secured Put (CSP Assignment). There is also a row type for when shares are called away.</w:t>
      </w:r>
    </w:p>
    <w:p>
      <w:pPr>
        <w:spacing w:after="80"/>
      </w:pPr>
      <w:r>
        <w:t xml:space="preserve"/>
      </w:r>
    </w:p>
    <w:p>
      <w:pPr>
        <w:pStyle w:val="Heading2"/>
        <w:spacing w:after="100" w:before="240"/>
      </w:pPr>
      <w:r>
        <w:rPr>
          <w:rFonts w:ascii="Arial" w:cs="Arial" w:eastAsia="Arial" w:hAnsi="Arial"/>
          <w:b/>
          <w:bCs/>
          <w:color w:val="2E75B6"/>
          <w:sz w:val="26"/>
          <w:szCs w:val="26"/>
        </w:rPr>
        <w:t xml:space="preserve">Stock Purchase</w:t>
      </w:r>
    </w:p>
    <w:p>
      <w:pPr>
        <w:spacing w:after="120"/>
      </w:pPr>
      <w:r>
        <w:rPr>
          <w:rFonts w:ascii="Arial" w:cs="Arial" w:eastAsia="Arial" w:hAnsi="Arial"/>
          <w:sz w:val="20"/>
          <w:szCs w:val="20"/>
        </w:rPr>
        <w:t xml:space="preserve">Use this row when you purchased shares </w:t>
      </w:r>
      <w:r>
        <w:rPr>
          <w:rFonts w:ascii="Arial" w:cs="Arial" w:eastAsia="Arial" w:hAnsi="Arial"/>
          <w:b/>
          <w:bCs/>
          <w:sz w:val="20"/>
          <w:szCs w:val="20"/>
        </w:rPr>
        <w:t xml:space="preserve">outright</w:t>
      </w:r>
      <w:r>
        <w:rPr>
          <w:rFonts w:ascii="Arial" w:cs="Arial" w:eastAsia="Arial" w:hAnsi="Arial"/>
          <w:sz w:val="20"/>
          <w:szCs w:val="20"/>
        </w:rPr>
        <w:t xml:space="preserve"> — not via CSP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ticker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Stock symbol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ABBV</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Uppercase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strategy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Stock Purchase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Stock Purchase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Exact spelling — triggers lot creation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entry_date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Purchase date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2026-01-10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YYYY-MM-DD or MM/DD/YYYY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entry_price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Price paid per share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168.50</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Average cost per share — not total outlay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contracts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Number of SHARES purchased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Not contracts — use actual share count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Optional free text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Bought at support</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Appears in lot notes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Note</w:t>
            </w:r>
          </w:p>
        </w:tc>
      </w:tr>
      <w:tr>
        <w:tc>
          <w:tcPr>
            <w:tcW w:type="dxa" w:w="9360"/>
            <w:tcBorders>
              <w:top w:val="nil" w:color="FFFFFF" w:sz="0"/>
              <w:left w:val="single" w:color="2E75B6" w:sz="8"/>
              <w:bottom w:val="nil" w:color="FFFFFF" w:sz="0"/>
              <w:right w:val="nil" w:color="FFFFFF" w:sz="0"/>
            </w:tcBorders>
            <w:shd w:fill="DEEAF1" w:val="clear"/>
            <w:tcMar>
              <w:top w:type="dxa" w:w="80"/>
              <w:left w:type="dxa" w:w="200"/>
              <w:bottom w:type="dxa" w:w="80"/>
              <w:right w:type="dxa" w:w="120"/>
            </w:tcMar>
          </w:tcPr>
          <w:p>
            <w:r>
              <w:rPr>
                <w:rFonts w:ascii="Arial" w:cs="Arial" w:eastAsia="Arial" w:hAnsi="Arial"/>
                <w:sz w:val="20"/>
                <w:szCs w:val="20"/>
              </w:rPr>
              <w:t xml:space="preserve">All other columns (status, expiration, strikes, exit fields) are ignored</w:t>
            </w:r>
          </w:p>
        </w:tc>
      </w:tr>
      <w:tr>
        <w:tc>
          <w:tcPr>
            <w:tcW w:type="dxa" w:w="9360"/>
            <w:tcBorders>
              <w:top w:val="nil" w:color="FFFFFF" w:sz="0"/>
              <w:left w:val="single" w:color="2E75B6" w:sz="8"/>
              <w:bottom w:val="nil" w:color="FFFFFF" w:sz="0"/>
              <w:right w:val="nil" w:color="FFFFFF" w:sz="0"/>
            </w:tcBorders>
            <w:shd w:fill="DEEAF1" w:val="clear"/>
            <w:tcMar>
              <w:top w:type="dxa" w:w="80"/>
              <w:left w:type="dxa" w:w="200"/>
              <w:bottom w:type="dxa" w:w="80"/>
              <w:right w:type="dxa" w:w="120"/>
            </w:tcMar>
          </w:tcPr>
          <w:p>
            <w:r>
              <w:rPr>
                <w:rFonts w:ascii="Arial" w:cs="Arial" w:eastAsia="Arial" w:hAnsi="Arial"/>
                <w:sz w:val="20"/>
                <w:szCs w:val="20"/>
              </w:rPr>
              <w:t xml:space="preserve">for Stock Purchase rows. Leave them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ABBV,Stock Purchase,,2026-01-10,,168.50,100,,,,,,,,,,,,,Bought 100 shares at $168.50</w:t>
            </w:r>
          </w:p>
        </w:tc>
      </w:tr>
    </w:tbl>
    <w:p>
      <w:pPr>
        <w:pStyle w:val="Heading2"/>
        <w:spacing w:after="100" w:before="240"/>
      </w:pPr>
      <w:r>
        <w:rPr>
          <w:rFonts w:ascii="Arial" w:cs="Arial" w:eastAsia="Arial" w:hAnsi="Arial"/>
          <w:b/>
          <w:bCs/>
          <w:color w:val="2E75B6"/>
          <w:sz w:val="26"/>
          <w:szCs w:val="26"/>
        </w:rPr>
        <w:t xml:space="preserve">CSP Assignment</w:t>
      </w:r>
    </w:p>
    <w:p>
      <w:pPr>
        <w:spacing w:after="120"/>
      </w:pPr>
      <w:r>
        <w:rPr>
          <w:rFonts w:ascii="Arial" w:cs="Arial" w:eastAsia="Arial" w:hAnsi="Arial"/>
          <w:sz w:val="20"/>
          <w:szCs w:val="20"/>
        </w:rPr>
        <w:t xml:space="preserve">Use this row when a </w:t>
      </w:r>
      <w:r>
        <w:rPr>
          <w:rFonts w:ascii="Arial" w:cs="Arial" w:eastAsia="Arial" w:hAnsi="Arial"/>
          <w:b/>
          <w:bCs/>
          <w:sz w:val="20"/>
          <w:szCs w:val="20"/>
        </w:rPr>
        <w:t xml:space="preserve">Cash-Secured Put was assigned</w:t>
      </w:r>
      <w:r>
        <w:rPr>
          <w:rFonts w:ascii="Arial" w:cs="Arial" w:eastAsia="Arial" w:hAnsi="Arial"/>
          <w:sz w:val="20"/>
          <w:szCs w:val="20"/>
        </w:rPr>
        <w:t xml:space="preserve"> and you received shares. Include the CSP option trade row (status=closed) immediately before this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ticker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Stock symbol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TSLA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Uppercase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strategy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CSP Assignment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CSP Assignment</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Exact spelling — triggers lot creation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entry_date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Assignment date (optional)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2026-02-21</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Can be blank — use exit_date instead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entry_price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Average cost per share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310.00</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Typically = the put strike price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contracts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Number of SHARES received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contract = 100 shares; 2 contracts = 200</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exit_date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Assignment date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2026-02-21</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Used as the lot purchase date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TSLA assigned at $310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TSLA,CSP Assignment,,2026-02-21,,310.00,100,,,,2026-02-21,,,,,,,,,TSLA 100 shares assigned at $310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  Tip</w:t>
            </w:r>
          </w:p>
        </w:tc>
      </w:tr>
      <w:tr>
        <w:tc>
          <w:tcPr>
            <w:tcW w:type="dxa" w:w="9360"/>
            <w:tcBorders>
              <w:top w:val="nil" w:color="FFFFFF" w:sz="0"/>
              <w:left w:val="single" w:color="375623" w:sz="8"/>
              <w:bottom w:val="nil" w:color="FFFFFF" w:sz="0"/>
              <w:right w:val="nil" w:color="FFFFFF" w:sz="0"/>
            </w:tcBorders>
            <w:shd w:fill="E2EFDA" w:val="clear"/>
            <w:tcMar>
              <w:top w:type="dxa" w:w="80"/>
              <w:left w:type="dxa" w:w="200"/>
              <w:bottom w:type="dxa" w:w="80"/>
              <w:right w:type="dxa" w:w="120"/>
            </w:tcMar>
          </w:tcPr>
          <w:p>
            <w:r>
              <w:rPr>
                <w:rFonts w:ascii="Arial" w:cs="Arial" w:eastAsia="Arial" w:hAnsi="Arial"/>
                <w:sz w:val="20"/>
                <w:szCs w:val="20"/>
              </w:rPr>
              <w:t xml:space="preserve">Always pair a CSP Assignment row with the closed CSP option trade row above it.</w:t>
            </w:r>
          </w:p>
        </w:tc>
      </w:tr>
      <w:tr>
        <w:tc>
          <w:tcPr>
            <w:tcW w:type="dxa" w:w="9360"/>
            <w:tcBorders>
              <w:top w:val="nil" w:color="FFFFFF" w:sz="0"/>
              <w:left w:val="single" w:color="375623" w:sz="8"/>
              <w:bottom w:val="nil" w:color="FFFFFF" w:sz="0"/>
              <w:right w:val="nil" w:color="FFFFFF" w:sz="0"/>
            </w:tcBorders>
            <w:shd w:fill="E2EFDA" w:val="clear"/>
            <w:tcMar>
              <w:top w:type="dxa" w:w="80"/>
              <w:left w:type="dxa" w:w="200"/>
              <w:bottom w:type="dxa" w:w="80"/>
              <w:right w:type="dxa" w:w="120"/>
            </w:tcMar>
          </w:tcPr>
          <w:p>
            <w:r>
              <w:rPr>
                <w:rFonts w:ascii="Arial" w:cs="Arial" w:eastAsia="Arial" w:hAnsi="Arial"/>
                <w:sz w:val="20"/>
                <w:szCs w:val="20"/>
              </w:rPr>
              <w:t xml:space="preserve">The CSP option row (strategy=Cash-Secured Put, status=closed) records the premium.</w:t>
            </w:r>
          </w:p>
        </w:tc>
      </w:tr>
      <w:tr>
        <w:tc>
          <w:tcPr>
            <w:tcW w:type="dxa" w:w="9360"/>
            <w:tcBorders>
              <w:top w:val="nil" w:color="FFFFFF" w:sz="0"/>
              <w:left w:val="single" w:color="375623" w:sz="8"/>
              <w:bottom w:val="nil" w:color="FFFFFF" w:sz="0"/>
              <w:right w:val="nil" w:color="FFFFFF" w:sz="0"/>
            </w:tcBorders>
            <w:shd w:fill="E2EFDA" w:val="clear"/>
            <w:tcMar>
              <w:top w:type="dxa" w:w="80"/>
              <w:left w:type="dxa" w:w="200"/>
              <w:bottom w:type="dxa" w:w="80"/>
              <w:right w:type="dxa" w:w="120"/>
            </w:tcMar>
          </w:tcPr>
          <w:p>
            <w:r>
              <w:rPr>
                <w:rFonts w:ascii="Arial" w:cs="Arial" w:eastAsia="Arial" w:hAnsi="Arial"/>
                <w:sz w:val="20"/>
                <w:szCs w:val="20"/>
              </w:rPr>
              <w:t xml:space="preserve">The CSP Assignment row creates the stock lot.</w:t>
            </w:r>
          </w:p>
        </w:tc>
      </w:tr>
    </w:tbl>
    <w:p>
      <w:pPr>
        <w:pStyle w:val="Heading2"/>
        <w:spacing w:after="100" w:before="240"/>
      </w:pPr>
      <w:r>
        <w:rPr>
          <w:rFonts w:ascii="Arial" w:cs="Arial" w:eastAsia="Arial" w:hAnsi="Arial"/>
          <w:b/>
          <w:bCs/>
          <w:color w:val="2E75B6"/>
          <w:sz w:val="26"/>
          <w:szCs w:val="26"/>
        </w:rPr>
        <w:t xml:space="preserve">Called Away</w:t>
      </w:r>
    </w:p>
    <w:p>
      <w:pPr>
        <w:spacing w:after="120"/>
      </w:pPr>
      <w:r>
        <w:rPr>
          <w:rFonts w:ascii="Arial" w:cs="Arial" w:eastAsia="Arial" w:hAnsi="Arial"/>
          <w:sz w:val="20"/>
          <w:szCs w:val="20"/>
        </w:rPr>
        <w:t xml:space="preserve">Use this row when a </w:t>
      </w:r>
      <w:r>
        <w:rPr>
          <w:rFonts w:ascii="Arial" w:cs="Arial" w:eastAsia="Arial" w:hAnsi="Arial"/>
          <w:b/>
          <w:bCs/>
          <w:sz w:val="20"/>
          <w:szCs w:val="20"/>
        </w:rPr>
        <w:t xml:space="preserve">Covered Call was called away</w:t>
      </w:r>
      <w:r>
        <w:rPr>
          <w:rFonts w:ascii="Arial" w:cs="Arial" w:eastAsia="Arial" w:hAnsi="Arial"/>
          <w:sz w:val="20"/>
          <w:szCs w:val="20"/>
        </w:rPr>
        <w:t xml:space="preserve"> and your shares were sold. Include the CC option trade row (status=closed) immediately before this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ticker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Stock symbol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TSLA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Uppercase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strategy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Called Away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Called Away</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Exact spelling — triggers lot close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exit_price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Price per share received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325.00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Typically = the call strike price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exit_date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Date shares were sold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2026-04-17</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YYYY-MM-DD or MM/DD/YYYY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Shares called at $325</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TSLA,Called Away,,,,,,,,325.00,2026-04-17,,,,,,,,,TSLA shares called away at $325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  Important</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Lot rows do not validate strike fields, expiration, or status — those columns</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are ignored. Only the columns listed in the tables above are used for each row type.</w:t>
            </w:r>
          </w:p>
        </w:tc>
      </w:tr>
    </w:tbl>
    <w:p>
      <w:pPr>
        <w:pStyle w:val="Heading1"/>
        <w:spacing w:after="120" w:before="300"/>
      </w:pPr>
      <w:r>
        <w:rPr>
          <w:rFonts w:ascii="Arial" w:cs="Arial" w:eastAsia="Arial" w:hAnsi="Arial"/>
          <w:b/>
          <w:bCs/>
          <w:color w:val="1F4E79"/>
          <w:sz w:val="32"/>
          <w:szCs w:val="32"/>
        </w:rPr>
        <w:t xml:space="preserve">4  Complete Wheel Cycle Example</w:t>
      </w:r>
    </w:p>
    <w:p>
      <w:pPr>
        <w:spacing w:after="120"/>
      </w:pPr>
      <w:r>
        <w:rPr>
          <w:rFonts w:ascii="Arial" w:cs="Arial" w:eastAsia="Arial" w:hAnsi="Arial"/>
          <w:sz w:val="20"/>
          <w:szCs w:val="20"/>
        </w:rPr>
        <w:t xml:space="preserve">The following shows a complete TSLA wheel cycle in a single END-grouped section. Option rows and lot rows are intermixed exactly as they would appear in your spreadsheet.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 === TSLA Wheel Cycle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1. Sell a cash-secured put</w:t>
            </w:r>
          </w:p>
          <w:p>
            <w:pPr>
              <w:spacing w:after="0"/>
            </w:pPr>
            <w:r>
              <w:rPr>
                <w:rFonts w:ascii="Courier New" w:cs="Courier New" w:eastAsia="Courier New" w:hAnsi="Courier New"/>
                <w:color w:val="D4D4D4"/>
                <w:sz w:val="18"/>
                <w:szCs w:val="18"/>
              </w:rPr>
              <w:t xml:space="preserve">TSLA,Cash-Secured Put,closed,2026-01-15,2026-02-21,9.80,1,,310,310.00,2026-02-21,,,,,,,,,CSP assigned at $310</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2. Record the lot created by assignment (100 shares @ $310)</w:t>
            </w:r>
          </w:p>
          <w:p>
            <w:pPr>
              <w:spacing w:after="0"/>
            </w:pPr>
            <w:r>
              <w:rPr>
                <w:rFonts w:ascii="Courier New" w:cs="Courier New" w:eastAsia="Courier New" w:hAnsi="Courier New"/>
                <w:color w:val="D4D4D4"/>
                <w:sz w:val="18"/>
                <w:szCs w:val="18"/>
              </w:rPr>
              <w:t xml:space="preserve">TSLA,CSP Assignment,,2026-02-21,,310.00,100,,,,2026-02-21,,,,,,,,,TSLA 100 shares assigned</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3. Write covered calls against the lot</w:t>
            </w:r>
          </w:p>
          <w:p>
            <w:pPr>
              <w:spacing w:after="0"/>
            </w:pPr>
            <w:r>
              <w:rPr>
                <w:rFonts w:ascii="Courier New" w:cs="Courier New" w:eastAsia="Courier New" w:hAnsi="Courier New"/>
                <w:color w:val="D4D4D4"/>
                <w:sz w:val="18"/>
                <w:szCs w:val="18"/>
              </w:rPr>
              <w:t xml:space="preserve">TSLA,Covered Call,closed,2026-02-25,2026-03-21,9.20,1,320,,0,2026-03-21,920,,,,-0.28,,,,,Expired worthless</w:t>
            </w:r>
          </w:p>
          <w:p>
            <w:pPr>
              <w:spacing w:after="0"/>
            </w:pPr>
            <w:r>
              <w:rPr>
                <w:rFonts w:ascii="Courier New" w:cs="Courier New" w:eastAsia="Courier New" w:hAnsi="Courier New"/>
                <w:color w:val="D4D4D4"/>
                <w:sz w:val="18"/>
                <w:szCs w:val="18"/>
              </w:rPr>
              <w:t xml:space="preserve">TSLA,Covered Call,closed,2026-03-25,2026-04-17,8.40,1,325,,325.00,2026-04-17,,,,,,,,,CC called away at $325</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4. Record the called-away lot close</w:t>
            </w:r>
          </w:p>
          <w:p>
            <w:pPr>
              <w:spacing w:after="0"/>
            </w:pPr>
            <w:r>
              <w:rPr>
                <w:rFonts w:ascii="Courier New" w:cs="Courier New" w:eastAsia="Courier New" w:hAnsi="Courier New"/>
                <w:color w:val="D4D4D4"/>
                <w:sz w:val="18"/>
                <w:szCs w:val="18"/>
              </w:rPr>
              <w:t xml:space="preserve">TSLA,Called Away,,,,,,,,325.00,2026-04-17,,,,,,,,,Shares called at $325</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END</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 ABBV (Outright Purchase) ===</w:t>
            </w:r>
          </w:p>
          <w:p>
            <w:pPr>
              <w:spacing w:after="0"/>
            </w:pPr>
            <w:r>
              <w:rPr>
                <w:rFonts w:ascii="Courier New" w:cs="Courier New" w:eastAsia="Courier New" w:hAnsi="Courier New"/>
                <w:color w:val="D4D4D4"/>
                <w:sz w:val="18"/>
                <w:szCs w:val="18"/>
              </w:rPr>
              <w:t xml:space="preserve">ABBV,Stock Purchase,,2026-01-10,,168.50,100,,,,,,,,,,,,,Bought 100 ABBV shares</w:t>
            </w:r>
          </w:p>
          <w:p>
            <w:pPr>
              <w:spacing w:after="0"/>
            </w:pPr>
            <w:r>
              <w:rPr>
                <w:rFonts w:ascii="Courier New" w:cs="Courier New" w:eastAsia="Courier New" w:hAnsi="Courier New"/>
                <w:color w:val="D4D4D4"/>
                <w:sz w:val="18"/>
                <w:szCs w:val="18"/>
              </w:rPr>
              <w:t xml:space="preserve">ABBV,Covered Call,closed,2026-01-15,2026-02-21,3.50,1,175,,0,2026-02-21,350,,,,-0.28,,,,,Expired worthless</w:t>
            </w:r>
          </w:p>
          <w:p>
            <w:pPr>
              <w:spacing w:after="0"/>
            </w:pPr>
            <w:r>
              <w:rPr>
                <w:rFonts w:ascii="Courier New" w:cs="Courier New" w:eastAsia="Courier New" w:hAnsi="Courier New"/>
                <w:color w:val="D4D4D4"/>
                <w:sz w:val="18"/>
                <w:szCs w:val="18"/>
              </w:rPr>
              <w:t xml:space="preserve">ABBV,Covered Call,open,2026-03-03,2026-05-16,3.10,1,178,,,,,,,,,-0.28,,,,,Current CC cycle</w:t>
            </w:r>
          </w:p>
          <w:p>
            <w:pPr>
              <w:spacing w:after="0"/>
            </w:pPr>
            <w:r>
              <w:rPr>
                <w:rFonts w:ascii="Courier New" w:cs="Courier New" w:eastAsia="Courier New" w:hAnsi="Courier New"/>
                <w:color w:val="D4D4D4"/>
                <w:sz w:val="18"/>
                <w:szCs w:val="18"/>
              </w:rPr>
              <w:t xml:space="preserve">END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Note</w:t>
            </w:r>
          </w:p>
        </w:tc>
      </w:tr>
      <w:tr>
        <w:tc>
          <w:tcPr>
            <w:tcW w:type="dxa" w:w="9360"/>
            <w:tcBorders>
              <w:top w:val="nil" w:color="FFFFFF" w:sz="0"/>
              <w:left w:val="single" w:color="2E75B6" w:sz="8"/>
              <w:bottom w:val="nil" w:color="FFFFFF" w:sz="0"/>
              <w:right w:val="nil" w:color="FFFFFF" w:sz="0"/>
            </w:tcBorders>
            <w:shd w:fill="DEEAF1" w:val="clear"/>
            <w:tcMar>
              <w:top w:type="dxa" w:w="80"/>
              <w:left w:type="dxa" w:w="200"/>
              <w:bottom w:type="dxa" w:w="80"/>
              <w:right w:type="dxa" w:w="120"/>
            </w:tcMar>
          </w:tcPr>
          <w:p>
            <w:r>
              <w:rPr>
                <w:rFonts w:ascii="Arial" w:cs="Arial" w:eastAsia="Arial" w:hAnsi="Arial"/>
                <w:sz w:val="20"/>
                <w:szCs w:val="20"/>
              </w:rPr>
              <w:t xml:space="preserve">After import, use the Assignment and Called Away buttons in Trade Log to</w:t>
            </w:r>
          </w:p>
        </w:tc>
      </w:tr>
      <w:tr>
        <w:tc>
          <w:tcPr>
            <w:tcW w:type="dxa" w:w="9360"/>
            <w:tcBorders>
              <w:top w:val="nil" w:color="FFFFFF" w:sz="0"/>
              <w:left w:val="single" w:color="2E75B6" w:sz="8"/>
              <w:bottom w:val="nil" w:color="FFFFFF" w:sz="0"/>
              <w:right w:val="nil" w:color="FFFFFF" w:sz="0"/>
            </w:tcBorders>
            <w:shd w:fill="DEEAF1" w:val="clear"/>
            <w:tcMar>
              <w:top w:type="dxa" w:w="80"/>
              <w:left w:type="dxa" w:w="200"/>
              <w:bottom w:type="dxa" w:w="80"/>
              <w:right w:type="dxa" w:w="120"/>
            </w:tcMar>
          </w:tcPr>
          <w:p>
            <w:r>
              <w:rPr>
                <w:rFonts w:ascii="Arial" w:cs="Arial" w:eastAsia="Arial" w:hAnsi="Arial"/>
                <w:sz w:val="20"/>
                <w:szCs w:val="20"/>
              </w:rPr>
              <w:t xml:space="preserve">complete the workflow for any event rows. The app will show an Action Required</w:t>
            </w:r>
          </w:p>
        </w:tc>
      </w:tr>
      <w:tr>
        <w:tc>
          <w:tcPr>
            <w:tcW w:type="dxa" w:w="9360"/>
            <w:tcBorders>
              <w:top w:val="nil" w:color="FFFFFF" w:sz="0"/>
              <w:left w:val="single" w:color="2E75B6" w:sz="8"/>
              <w:bottom w:val="nil" w:color="FFFFFF" w:sz="0"/>
              <w:right w:val="nil" w:color="FFFFFF" w:sz="0"/>
            </w:tcBorders>
            <w:shd w:fill="DEEAF1" w:val="clear"/>
            <w:tcMar>
              <w:top w:type="dxa" w:w="80"/>
              <w:left w:type="dxa" w:w="200"/>
              <w:bottom w:type="dxa" w:w="80"/>
              <w:right w:type="dxa" w:w="120"/>
            </w:tcMar>
          </w:tcPr>
          <w:p>
            <w:r>
              <w:rPr>
                <w:rFonts w:ascii="Arial" w:cs="Arial" w:eastAsia="Arial" w:hAnsi="Arial"/>
                <w:sz w:val="20"/>
                <w:szCs w:val="20"/>
              </w:rPr>
              <w:t xml:space="preserve">banner on the import preview screen for rows that need follow-up.</w:t>
            </w:r>
          </w:p>
        </w:tc>
      </w:tr>
    </w:tbl>
    <w:p>
      <w:pPr>
        <w:pStyle w:val="Heading1"/>
        <w:spacing w:after="120" w:before="300"/>
      </w:pPr>
      <w:r>
        <w:rPr>
          <w:rFonts w:ascii="Arial" w:cs="Arial" w:eastAsia="Arial" w:hAnsi="Arial"/>
          <w:b/>
          <w:bCs/>
          <w:color w:val="1F4E79"/>
          <w:sz w:val="32"/>
          <w:szCs w:val="32"/>
        </w:rPr>
        <w:t xml:space="preserve">5  Field Specification — Option Trades</w:t>
      </w:r>
    </w:p>
    <w:p>
      <w:pPr>
        <w:spacing w:after="120"/>
      </w:pPr>
      <w:r>
        <w:rPr>
          <w:rFonts w:ascii="Arial" w:cs="Arial" w:eastAsia="Arial" w:hAnsi="Arial"/>
          <w:sz w:val="20"/>
          <w:szCs w:val="20"/>
        </w:rPr>
        <w:t xml:space="preserve">The table below applies to all 14 option strategy rows. Lot rows (Stock Purchase, CSP Assignment, Called Away) use a subset of these columns — see Section 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2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 / 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ticker</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Stock symbol. Uppercase. e.g. AAPL, TSLA, SPY.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strategy</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REQUIRED</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Exact strategy name — see Section 6. Case-sensitive.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"open" or "closed".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entry_date</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REQUIRED</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YYYY-MM-DD or MM/DD/YYYY. Cannot be in the future.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expiration</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YYYY-MM-DD or MM/DD/YYYY. Must be after entry_date. For Calendar/Diagonal: front month expiry.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entry_price</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REQUIRED</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Per share — not per contract. Always positive. IC/IB: sum of both wing credits. Cal/Diagonal: net debit.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contracts</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Integer &gt;= 1. 1 contract = 100 shares.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strike_sell</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COND</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Required for: CC, BCS, BuCS, BPS, BePuS, IC, IB, Long Strangle. Blank for CSP, Long Call/Put, Straddle.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strike_buy</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COND</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Required for: CSP, BPS, BCS, BuCS, BePuS, IC, IB, Long Call, Long Put, Straddle, Strangle. Blank for CC.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exit_price</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COND</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Required when status = closed. Enter 0 for expired worthless.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exit_date</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COND</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Required when status = closed. Between entry_date and expiration.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pnl</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optional</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Leave blank — app calculates automatically.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expiration_back</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COND</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Calendar / Diagonal only. Back month expiry. Must be later than expiration.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option_type</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COND</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Calendar / Diagonal only. "call" or "put".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lot_id</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Links to a stock lot by Lot ID number. Find IDs on Stock Positions page.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delta</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optional</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Delta at entry. Negative for short options. e.g. -0.28.</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gamma</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Gamma at entry.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theta</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optional</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Theta at entry (daily decay). Negative for short options.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vega</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Vega at entry.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iv_entry</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optional</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IV as a PERCENT — enter 28, not 0.28.</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Free-text. Entry thesis, context. Imported as-is.</w:t>
            </w:r>
          </w:p>
        </w:tc>
      </w:tr>
    </w:tbl>
    <w:p>
      <w:pPr>
        <w:pStyle w:val="Heading1"/>
        <w:spacing w:after="120" w:before="300"/>
      </w:pPr>
      <w:r>
        <w:rPr>
          <w:rFonts w:ascii="Arial" w:cs="Arial" w:eastAsia="Arial" w:hAnsi="Arial"/>
          <w:b/>
          <w:bCs/>
          <w:color w:val="1F4E79"/>
          <w:sz w:val="32"/>
          <w:szCs w:val="32"/>
        </w:rPr>
        <w:t xml:space="preserve">6  Strategy Names — Exact Spelling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 Name (exact)</w:t>
            </w:r>
          </w:p>
        </w:tc>
        <w:tc>
          <w:tcPr>
            <w:tcW w:type="dxa" w:w="22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entry_price meaning</w:t>
            </w:r>
          </w:p>
        </w:tc>
        <w:tc>
          <w:tcPr>
            <w:tcW w:type="dxa" w:w="42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Strike 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Covered Call</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Net credit per share</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strike_sell = call strike.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Cash-Secured Put</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Net credit per share</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strike_buy = put strike.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Bull Put Spread</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Net credit (both legs)</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strike_sell &gt; strike_buy.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Bear Call Spread</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Net credit (both legs)</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strike_buy &gt; strike_sell.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Bull Call Spread</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Net debit (both legs)</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strike_sell &gt; strike_buy.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Bear Put Spread</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Net debit (both legs)</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strike_buy &gt; strike_sell.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Iron Condor</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Total net credit — both wings combined</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strike_sell=call short. strike_buy=put short.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Iron Butterfly</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Total net credit — both wings combined</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strike_sell=ATM body. strike_buy=put wing buy.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Calendar Spread</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Net debit (back cost minus front credit)</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Both blank. Requires expiration_back + option_type.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Diagonal Spread</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Net debit (back cost minus front credit)</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strike_sell=front strike. strike_buy=back strike.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Long Call</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Premium paid per share</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strike_buy = strike.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Long Put</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Premium paid per share</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strike_buy = strike.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Long Straddle</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COMBINED premium — call + put</w:t>
            </w:r>
          </w:p>
        </w:tc>
        <w:tc>
          <w:tcPr>
            <w:tcW w:type="dxa" w:w="4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strike_sell = strike_buy = ATM.</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Long Strangle</w:t>
            </w:r>
          </w:p>
        </w:tc>
        <w:tc>
          <w:tcPr>
            <w:tcW w:type="dxa" w:w="2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COMBINED premium — call + put</w:t>
            </w:r>
          </w:p>
        </w:tc>
        <w:tc>
          <w:tcPr>
            <w:tcW w:type="dxa" w:w="4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strike_sell=call. strike_buy=put.</w:t>
            </w:r>
          </w:p>
        </w:tc>
      </w:tr>
    </w:tbl>
    <w:p>
      <w:pPr>
        <w:pStyle w:val="Heading1"/>
        <w:spacing w:after="120" w:before="300"/>
      </w:pPr>
      <w:r>
        <w:rPr>
          <w:rFonts w:ascii="Arial" w:cs="Arial" w:eastAsia="Arial" w:hAnsi="Arial"/>
          <w:b/>
          <w:bCs/>
          <w:color w:val="1F4E79"/>
          <w:sz w:val="32"/>
          <w:szCs w:val="32"/>
        </w:rPr>
        <w:t xml:space="preserve">7  Pre-Import Checklist</w:t>
      </w:r>
    </w:p>
    <w:p>
      <w:pPr>
        <w:pStyle w:val="ListParagraph"/>
        <w:numPr>
          <w:ilvl w:val="0"/>
          <w:numId w:val="2"/>
        </w:numPr>
        <w:spacing w:after="80"/>
      </w:pPr>
      <w:r>
        <w:rPr>
          <w:rFonts w:ascii="Arial" w:cs="Arial" w:eastAsia="Arial" w:hAnsi="Arial"/>
          <w:sz w:val="20"/>
          <w:szCs w:val="20"/>
        </w:rPr>
        <w:t xml:space="preserve">First row is a header row with exact column names (case-insensitive).</w:t>
      </w:r>
    </w:p>
    <w:p>
      <w:pPr>
        <w:pStyle w:val="ListParagraph"/>
        <w:numPr>
          <w:ilvl w:val="0"/>
          <w:numId w:val="2"/>
        </w:numPr>
        <w:spacing w:after="80"/>
      </w:pPr>
      <w:r>
        <w:rPr>
          <w:rFonts w:ascii="Arial" w:cs="Arial" w:eastAsia="Arial" w:hAnsi="Arial"/>
          <w:sz w:val="20"/>
          <w:szCs w:val="20"/>
        </w:rPr>
        <w:t xml:space="preserve">ticker column: uppercase symbols only.</w:t>
      </w:r>
    </w:p>
    <w:p>
      <w:pPr>
        <w:pStyle w:val="ListParagraph"/>
        <w:numPr>
          <w:ilvl w:val="0"/>
          <w:numId w:val="2"/>
        </w:numPr>
        <w:spacing w:after="80"/>
      </w:pPr>
      <w:r>
        <w:rPr>
          <w:rFonts w:ascii="Arial" w:cs="Arial" w:eastAsia="Arial" w:hAnsi="Arial"/>
          <w:sz w:val="20"/>
          <w:szCs w:val="20"/>
        </w:rPr>
        <w:t xml:space="preserve">strategy: exact names from Section 6, or lot row names (Stock Purchase / CSP Assignment / Called Away).</w:t>
      </w:r>
    </w:p>
    <w:p>
      <w:pPr>
        <w:pStyle w:val="ListParagraph"/>
        <w:numPr>
          <w:ilvl w:val="0"/>
          <w:numId w:val="2"/>
        </w:numPr>
        <w:spacing w:after="80"/>
      </w:pPr>
      <w:r>
        <w:rPr>
          <w:rFonts w:ascii="Arial" w:cs="Arial" w:eastAsia="Arial" w:hAnsi="Arial"/>
          <w:sz w:val="20"/>
          <w:szCs w:val="20"/>
        </w:rPr>
        <w:t xml:space="preserve">status: only "open" or "closed" for option rows.</w:t>
      </w:r>
    </w:p>
    <w:p>
      <w:pPr>
        <w:pStyle w:val="ListParagraph"/>
        <w:numPr>
          <w:ilvl w:val="0"/>
          <w:numId w:val="2"/>
        </w:numPr>
        <w:spacing w:after="80"/>
      </w:pPr>
      <w:r>
        <w:rPr>
          <w:rFonts w:ascii="Arial" w:cs="Arial" w:eastAsia="Arial" w:hAnsi="Arial"/>
          <w:sz w:val="20"/>
          <w:szCs w:val="20"/>
        </w:rPr>
        <w:t xml:space="preserve">All dates: YYYY-MM-DD or MM/DD/YYYY — no month abbreviations.</w:t>
      </w:r>
    </w:p>
    <w:p>
      <w:pPr>
        <w:pStyle w:val="ListParagraph"/>
        <w:numPr>
          <w:ilvl w:val="0"/>
          <w:numId w:val="2"/>
        </w:numPr>
        <w:spacing w:after="80"/>
      </w:pPr>
      <w:r>
        <w:rPr>
          <w:rFonts w:ascii="Arial" w:cs="Arial" w:eastAsia="Arial" w:hAnsi="Arial"/>
          <w:sz w:val="20"/>
          <w:szCs w:val="20"/>
        </w:rPr>
        <w:t xml:space="preserve">entry_price: per share — not per contract, not total dollars.</w:t>
      </w:r>
    </w:p>
    <w:p>
      <w:pPr>
        <w:pStyle w:val="ListParagraph"/>
        <w:numPr>
          <w:ilvl w:val="0"/>
          <w:numId w:val="2"/>
        </w:numPr>
        <w:spacing w:after="80"/>
      </w:pPr>
      <w:r>
        <w:rPr>
          <w:rFonts w:ascii="Arial" w:cs="Arial" w:eastAsia="Arial" w:hAnsi="Arial"/>
          <w:sz w:val="20"/>
          <w:szCs w:val="20"/>
        </w:rPr>
        <w:t xml:space="preserve">exit_price and exit_date present for every closed option row.</w:t>
      </w:r>
    </w:p>
    <w:p>
      <w:pPr>
        <w:pStyle w:val="ListParagraph"/>
        <w:numPr>
          <w:ilvl w:val="0"/>
          <w:numId w:val="2"/>
        </w:numPr>
        <w:spacing w:after="80"/>
      </w:pPr>
      <w:r>
        <w:rPr>
          <w:rFonts w:ascii="Arial" w:cs="Arial" w:eastAsia="Arial" w:hAnsi="Arial"/>
          <w:sz w:val="20"/>
          <w:szCs w:val="20"/>
        </w:rPr>
        <w:t xml:space="preserve">expiration_back and option_type present for every Calendar / Diagonal row.</w:t>
      </w:r>
    </w:p>
    <w:p>
      <w:pPr>
        <w:pStyle w:val="ListParagraph"/>
        <w:numPr>
          <w:ilvl w:val="0"/>
          <w:numId w:val="2"/>
        </w:numPr>
        <w:spacing w:after="80"/>
      </w:pPr>
      <w:r>
        <w:rPr>
          <w:rFonts w:ascii="Arial" w:cs="Arial" w:eastAsia="Arial" w:hAnsi="Arial"/>
          <w:sz w:val="20"/>
          <w:szCs w:val="20"/>
        </w:rPr>
        <w:t xml:space="preserve">Strike values follow the correct relationship per strategy (see Section 5 table above).</w:t>
      </w:r>
    </w:p>
    <w:p>
      <w:pPr>
        <w:pStyle w:val="ListParagraph"/>
        <w:numPr>
          <w:ilvl w:val="0"/>
          <w:numId w:val="2"/>
        </w:numPr>
        <w:spacing w:after="80"/>
      </w:pPr>
      <w:r>
        <w:rPr>
          <w:rFonts w:ascii="Arial" w:cs="Arial" w:eastAsia="Arial" w:hAnsi="Arial"/>
          <w:sz w:val="20"/>
          <w:szCs w:val="20"/>
        </w:rPr>
        <w:t xml:space="preserve">contracts: integers only — no decimals. For lot rows: this is the share count.</w:t>
      </w:r>
    </w:p>
    <w:p>
      <w:pPr>
        <w:pStyle w:val="ListParagraph"/>
        <w:numPr>
          <w:ilvl w:val="0"/>
          <w:numId w:val="2"/>
        </w:numPr>
        <w:spacing w:after="80"/>
      </w:pPr>
      <w:r>
        <w:rPr>
          <w:rFonts w:ascii="Arial" w:cs="Arial" w:eastAsia="Arial" w:hAnsi="Arial"/>
          <w:sz w:val="20"/>
          <w:szCs w:val="20"/>
        </w:rPr>
        <w:t xml:space="preserve">Stock lots already exist (or Stock Purchase / CSP Assignment rows are included) before linking CCs.</w:t>
      </w:r>
    </w:p>
    <w:p>
      <w:pPr>
        <w:pStyle w:val="ListParagraph"/>
        <w:numPr>
          <w:ilvl w:val="0"/>
          <w:numId w:val="2"/>
        </w:numPr>
        <w:spacing w:after="80"/>
      </w:pPr>
      <w:r>
        <w:rPr>
          <w:rFonts w:ascii="Arial" w:cs="Arial" w:eastAsia="Arial" w:hAnsi="Arial"/>
          <w:sz w:val="20"/>
          <w:szCs w:val="20"/>
        </w:rPr>
        <w:t xml:space="preserve">iv_entry as a percentage: 28 not 0.28.</w:t>
      </w:r>
    </w:p>
    <w:p>
      <w:pPr>
        <w:pStyle w:val="ListParagraph"/>
        <w:numPr>
          <w:ilvl w:val="0"/>
          <w:numId w:val="2"/>
        </w:numPr>
        <w:spacing w:after="80"/>
      </w:pPr>
      <w:r>
        <w:rPr>
          <w:rFonts w:ascii="Arial" w:cs="Arial" w:eastAsia="Arial" w:hAnsi="Arial"/>
          <w:sz w:val="20"/>
          <w:szCs w:val="20"/>
        </w:rPr>
        <w:t xml:space="preserve">END rows: only the word END — nothing else on those lines.</w:t>
      </w:r>
    </w:p>
    <w:p>
      <w:pPr>
        <w:pStyle w:val="ListParagraph"/>
        <w:numPr>
          <w:ilvl w:val="0"/>
          <w:numId w:val="2"/>
        </w:numPr>
        <w:spacing w:after="80"/>
      </w:pPr>
      <w:r>
        <w:rPr>
          <w:rFonts w:ascii="Arial" w:cs="Arial" w:eastAsia="Arial" w:hAnsi="Arial"/>
          <w:sz w:val="20"/>
          <w:szCs w:val="20"/>
        </w:rPr>
        <w:t xml:space="preserve">File saved as .csv — not .xlsx or .ods.</w:t>
      </w:r>
    </w:p>
    <w:p>
      <w:pPr>
        <w:pStyle w:val="Heading1"/>
        <w:spacing w:after="120" w:before="300"/>
      </w:pPr>
      <w:r>
        <w:rPr>
          <w:rFonts w:ascii="Arial" w:cs="Arial" w:eastAsia="Arial" w:hAnsi="Arial"/>
          <w:b/>
          <w:bCs/>
          <w:color w:val="1F4E79"/>
          <w:sz w:val="32"/>
          <w:szCs w:val="32"/>
        </w:rPr>
        <w:t xml:space="preserve">8  After Import — What to Do Next</w:t>
      </w:r>
    </w:p>
    <w:p>
      <w:pPr>
        <w:pStyle w:val="Heading2"/>
        <w:spacing w:after="100" w:before="240"/>
      </w:pPr>
      <w:r>
        <w:rPr>
          <w:rFonts w:ascii="Arial" w:cs="Arial" w:eastAsia="Arial" w:hAnsi="Arial"/>
          <w:b/>
          <w:bCs/>
          <w:color w:val="2E75B6"/>
          <w:sz w:val="26"/>
          <w:szCs w:val="26"/>
        </w:rPr>
        <w:t xml:space="preserve">Link Covered Calls to Stock Lots</w:t>
      </w:r>
    </w:p>
    <w:p>
      <w:pPr>
        <w:spacing w:after="120"/>
      </w:pPr>
      <w:r>
        <w:rPr>
          <w:rFonts w:ascii="Arial" w:cs="Arial" w:eastAsia="Arial" w:hAnsi="Arial"/>
          <w:sz w:val="20"/>
          <w:szCs w:val="20"/>
        </w:rPr>
        <w:t xml:space="preserve">Every Covered Call must be linked to a stock lot to enable cost basis reduction, the Called Away workflow, and the Wheel Cycle P&amp;L summary. If you included Stock Purchase or CSP Assignment rows in your import, the app creates those lots automatically — your CCs will auto-link where there is only one open lot for that ticker. For ambiguous cases (multiple lots), link manually: Trade Log → Edit → Linked Stock Lot.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C55A11" w:val="clear"/>
            <w:tcMar>
              <w:top w:type="dxa" w:w="80"/>
              <w:left w:type="dxa" w:w="120"/>
              <w:bottom w:type="dxa" w:w="80"/>
              <w:right w:type="dxa" w:w="120"/>
            </w:tcMar>
          </w:tcPr>
          <w:p>
            <w:r>
              <w:rPr>
                <w:rFonts w:ascii="Arial" w:cs="Arial" w:eastAsia="Arial" w:hAnsi="Arial"/>
                <w:b/>
                <w:bCs/>
                <w:color w:val="FFFFFF"/>
                <w:sz w:val="20"/>
                <w:szCs w:val="20"/>
              </w:rPr>
              <w:t xml:space="preserve">⚠  Important</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If a CC is not linked to a lot, the Called Away button will not function.</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The app shows a warning on that trade row. Link the lot before attempting</w:t>
            </w:r>
          </w:p>
        </w:tc>
      </w:tr>
      <w:tr>
        <w:tc>
          <w:tcPr>
            <w:tcW w:type="dxa" w:w="9360"/>
            <w:tcBorders>
              <w:top w:val="nil" w:color="FFFFFF" w:sz="0"/>
              <w:left w:val="single" w:color="C55A11" w:sz="8"/>
              <w:bottom w:val="nil" w:color="FFFFFF" w:sz="0"/>
              <w:right w:val="nil" w:color="FFFFFF" w:sz="0"/>
            </w:tcBorders>
            <w:shd w:fill="FCE4D6" w:val="clear"/>
            <w:tcMar>
              <w:top w:type="dxa" w:w="80"/>
              <w:left w:type="dxa" w:w="200"/>
              <w:bottom w:type="dxa" w:w="80"/>
              <w:right w:type="dxa" w:w="120"/>
            </w:tcMar>
          </w:tcPr>
          <w:p>
            <w:r>
              <w:rPr>
                <w:rFonts w:ascii="Arial" w:cs="Arial" w:eastAsia="Arial" w:hAnsi="Arial"/>
                <w:sz w:val="20"/>
                <w:szCs w:val="20"/>
              </w:rPr>
              <w:t xml:space="preserve">Called Away on any imported CC.</w:t>
            </w:r>
          </w:p>
        </w:tc>
      </w:tr>
    </w:tbl>
    <w:p>
      <w:pPr>
        <w:spacing w:after="80"/>
      </w:pPr>
      <w:r>
        <w:t xml:space="preserve"/>
      </w:r>
    </w:p>
    <w:p>
      <w:pPr>
        <w:pStyle w:val="Heading2"/>
        <w:spacing w:after="100" w:before="240"/>
      </w:pPr>
      <w:r>
        <w:rPr>
          <w:rFonts w:ascii="Arial" w:cs="Arial" w:eastAsia="Arial" w:hAnsi="Arial"/>
          <w:b/>
          <w:bCs/>
          <w:color w:val="2E75B6"/>
          <w:sz w:val="26"/>
          <w:szCs w:val="26"/>
        </w:rPr>
        <w:t xml:space="preserve">Verify P&amp;L on Closed Trades</w:t>
      </w:r>
    </w:p>
    <w:p>
      <w:pPr>
        <w:spacing w:after="120"/>
      </w:pPr>
      <w:r>
        <w:rPr>
          <w:rFonts w:ascii="Arial" w:cs="Arial" w:eastAsia="Arial" w:hAnsi="Arial"/>
          <w:sz w:val="20"/>
          <w:szCs w:val="20"/>
        </w:rPr>
        <w:t xml:space="preserve">The app calculates P&amp;L automatically for closed trades when the pnl column is blank: (entry_price − exit_price) × contracts × 100 for credit strategies, and (exit_price − entry_price) × contracts × 100 for debit strategies.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  Tip</w:t>
            </w:r>
          </w:p>
        </w:tc>
      </w:tr>
      <w:tr>
        <w:tc>
          <w:tcPr>
            <w:tcW w:type="dxa" w:w="9360"/>
            <w:tcBorders>
              <w:top w:val="nil" w:color="FFFFFF" w:sz="0"/>
              <w:left w:val="single" w:color="375623" w:sz="8"/>
              <w:bottom w:val="nil" w:color="FFFFFF" w:sz="0"/>
              <w:right w:val="nil" w:color="FFFFFF" w:sz="0"/>
            </w:tcBorders>
            <w:shd w:fill="E2EFDA" w:val="clear"/>
            <w:tcMar>
              <w:top w:type="dxa" w:w="80"/>
              <w:left w:type="dxa" w:w="200"/>
              <w:bottom w:type="dxa" w:w="80"/>
              <w:right w:type="dxa" w:w="120"/>
            </w:tcMar>
          </w:tcPr>
          <w:p>
            <w:r>
              <w:rPr>
                <w:rFonts w:ascii="Arial" w:cs="Arial" w:eastAsia="Arial" w:hAnsi="Arial"/>
                <w:sz w:val="20"/>
                <w:szCs w:val="20"/>
              </w:rPr>
              <w:t xml:space="preserve">For assigned CSPs where exit_price = strike_buy, leave pnl blank. Assignment</w:t>
            </w:r>
          </w:p>
        </w:tc>
      </w:tr>
      <w:tr>
        <w:tc>
          <w:tcPr>
            <w:tcW w:type="dxa" w:w="9360"/>
            <w:tcBorders>
              <w:top w:val="nil" w:color="FFFFFF" w:sz="0"/>
              <w:left w:val="single" w:color="375623" w:sz="8"/>
              <w:bottom w:val="nil" w:color="FFFFFF" w:sz="0"/>
              <w:right w:val="nil" w:color="FFFFFF" w:sz="0"/>
            </w:tcBorders>
            <w:shd w:fill="E2EFDA" w:val="clear"/>
            <w:tcMar>
              <w:top w:type="dxa" w:w="80"/>
              <w:left w:type="dxa" w:w="200"/>
              <w:bottom w:type="dxa" w:w="80"/>
              <w:right w:type="dxa" w:w="120"/>
            </w:tcMar>
          </w:tcPr>
          <w:p>
            <w:r>
              <w:rPr>
                <w:rFonts w:ascii="Arial" w:cs="Arial" w:eastAsia="Arial" w:hAnsi="Arial"/>
                <w:sz w:val="20"/>
                <w:szCs w:val="20"/>
              </w:rPr>
              <w:t xml:space="preserve">P&amp;L is the premium collected only — the share cost is tracked on the lot.</w:t>
            </w:r>
          </w:p>
        </w:tc>
      </w:tr>
    </w:tbl>
    <w:p>
      <w:pPr>
        <w:spacing w:after="80"/>
      </w:pPr>
      <w:r>
        <w:t xml:space="preserve"/>
      </w:r>
    </w:p>
    <w:p>
      <w:pPr>
        <w:pStyle w:val="Heading2"/>
        <w:spacing w:after="100" w:before="240"/>
      </w:pPr>
      <w:r>
        <w:rPr>
          <w:rFonts w:ascii="Arial" w:cs="Arial" w:eastAsia="Arial" w:hAnsi="Arial"/>
          <w:b/>
          <w:bCs/>
          <w:color w:val="2E75B6"/>
          <w:sz w:val="26"/>
          <w:szCs w:val="26"/>
        </w:rPr>
        <w:t xml:space="preserve">Multi-Leg Strategies</w:t>
      </w:r>
    </w:p>
    <w:p>
      <w:pPr>
        <w:spacing w:after="120"/>
      </w:pPr>
      <w:r>
        <w:rPr>
          <w:rFonts w:ascii="Arial" w:cs="Arial" w:eastAsia="Arial" w:hAnsi="Arial"/>
          <w:sz w:val="20"/>
          <w:szCs w:val="20"/>
        </w:rPr>
        <w:t xml:space="preserve">Spreads, ICs, IBs, Calendar Spreads, and Diagonal Spreads import correctly as single CSV rows but will not have chain IDs, so the Adj IC/IB and Adj Cal wizards will not be available. For full chain-adjustment capability, enter these via Log New Trade instead.</w:t>
      </w:r>
    </w:p>
    <w:p>
      <w:pPr>
        <w:pStyle w:val="Heading1"/>
        <w:spacing w:after="120" w:before="300"/>
      </w:pPr>
      <w:r>
        <w:rPr>
          <w:rFonts w:ascii="Arial" w:cs="Arial" w:eastAsia="Arial" w:hAnsi="Arial"/>
          <w:b/>
          <w:bCs/>
          <w:color w:val="1F4E79"/>
          <w:sz w:val="32"/>
          <w:szCs w:val="32"/>
        </w:rPr>
        <w:t xml:space="preserve">9  Common Import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message</w:t>
            </w:r>
          </w:p>
        </w:tc>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 and fix</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Unknown strategy: "..."</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Strategy name does not match exactly. Check capitalisation. Valid lot row values are: Stock Purchase, CSP Assignment, Called Away.</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status must be "open" or "closed"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Status column value is wrong. Only option trade rows need status — leave it blank for lot rows.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entry_price must be &gt; 0</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entry_price is blank or zero. For lot rows: entry_price = avg cost per share purchased.</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exit_price required for closed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Status is closed but exit_price is empty. Enter 0 for expired worthless.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exit_date required for closed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Status is closed but exit_date is empty.</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expiration_back required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Calendar or Diagonal row is missing expiration_back.</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option_type required / invalid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Calendar or Diagonal row is missing option_type, or it is not "call" or "put".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contracts must be &gt;= 1</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contracts is blank or zero. For lot rows: contracts = number of shares.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 valid header row found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file has no row containing all 7 required column names. Ensure the first non-blank non-comment row is your header.</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Stock Purchase: missing required fields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Stock Purchase row is missing ticker, contracts (shares), entry_price (avg cost), or entry_date.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CSP Assignment: missing required fields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CSP Assignment row is missing ticker, contracts (shares), entry_price (avg cost per share), or exit_date.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Called Away: missing exit_price or exit_date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Called Away row needs exit_price (price per share received) and exit_date.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 new trades — all duplicates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Every row already exists in the database. Delete originals before re-importing corrected data.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2026-04-08T18:27:38.882Z</dcterms:created>
  <dcterms:modified xsi:type="dcterms:W3CDTF">2026-04-08T18:27:38.910Z</dcterms:modified>
</cp:coreProperties>
</file>

<file path=docProps/custom.xml><?xml version="1.0" encoding="utf-8"?>
<Properties xmlns="http://schemas.openxmlformats.org/officeDocument/2006/custom-properties" xmlns:vt="http://schemas.openxmlformats.org/officeDocument/2006/docPropsVTypes"/>
</file>