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B2A4A"/>
          <w:sz w:val="56"/>
          <w:szCs w:val="56"/>
        </w:rPr>
        <w:t xml:space="preserve">MyOptionDiary</w:t>
      </w:r>
    </w:p>
    <w:p>
      <w:pPr>
        <w:spacing w:after="80" w:before="0"/>
      </w:pPr>
      <w:r>
        <w:rPr>
          <w:rFonts w:ascii="Arial" w:cs="Arial" w:eastAsia="Arial" w:hAnsi="Arial"/>
          <w:b/>
          <w:bCs/>
          <w:color w:val="0D6E6E"/>
          <w:sz w:val="40"/>
          <w:szCs w:val="40"/>
        </w:rPr>
        <w:t xml:space="preserve">Robinhood CSV Migration Guide</w:t>
      </w:r>
    </w:p>
    <w:p>
      <w:pPr>
        <w:spacing w:after="480" w:before="0"/>
      </w:pPr>
      <w:r>
        <w:rPr>
          <w:rFonts w:ascii="Arial" w:cs="Arial" w:eastAsia="Arial" w:hAnsi="Arial"/>
          <w:i/>
          <w:iCs/>
          <w:color w:val="5D6D7E"/>
          <w:sz w:val="22"/>
          <w:szCs w:val="22"/>
        </w:rPr>
        <w:t xml:space="preserve">How to prepare your Robinhood export so MyOptionDiary can reconstruct your full wheel history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Migration tool — one time only.  </w:t>
            </w:r>
            <w:r>
              <w:rPr>
                <w:rFonts w:ascii="Arial" w:cs="Arial" w:eastAsia="Arial" w:hAnsi="Arial"/>
                <w:color w:val="1A1A1A"/>
                <w:sz w:val="20"/>
                <w:szCs w:val="20"/>
              </w:rPr>
              <w:t xml:space="preserve">CSV import is a one-time migration for loading your existing Robinhood history. Once imported, log all new trades through the app.</w:t>
            </w:r>
          </w:p>
        </w:tc>
      </w:tr>
    </w:tbl>
    <w:p>
      <w:pPr>
        <w:spacing w:before="240"/>
      </w:pPr>
    </w:p>
    <w:p>
      <w:pPr>
        <w:pStyle w:val="Heading1"/>
        <w:pBdr>
          <w:bottom w:val="single" w:color="0D6E6E" w:sz="8" w:space="4"/>
        </w:pBdr>
        <w:spacing w:after="160" w:before="300"/>
      </w:pPr>
      <w:r>
        <w:rPr>
          <w:rFonts w:ascii="Arial" w:cs="Arial" w:eastAsia="Arial" w:hAnsi="Arial"/>
          <w:b/>
          <w:bCs/>
          <w:color w:val="1B2A4A"/>
          <w:sz w:val="36"/>
          <w:szCs w:val="36"/>
        </w:rPr>
        <w:t xml:space="preserve">1  Overview</w:t>
      </w:r>
    </w:p>
    <w:p>
      <w:pPr>
        <w:spacing w:after="80" w:before="60"/>
      </w:pPr>
      <w:r>
        <w:rPr>
          <w:rFonts w:ascii="Arial" w:cs="Arial" w:eastAsia="Arial" w:hAnsi="Arial"/>
          <w:sz w:val="21"/>
          <w:szCs w:val="21"/>
        </w:rPr>
        <w:t xml:space="preserve">MyOptionDiary reads Robinhood’s account activity CSV. The key columns are Instrument (compact OCC symbol like AAPL4/17/26C250), Trans Code (STO/BTO/STC/BTC/OEXP/OASGN/OEXER/BUY/SELL), Quantity, and Price.</w:t>
      </w:r>
    </w:p>
    <w:p>
      <w:pPr>
        <w:spacing w:after="80" w:before="60"/>
      </w:pPr>
      <w:r>
        <w:rPr>
          <w:rFonts w:ascii="Arial" w:cs="Arial" w:eastAsia="Arial" w:hAnsi="Arial"/>
          <w:sz w:val="21"/>
          <w:szCs w:val="21"/>
        </w:rPr>
        <w:t xml:space="preserve">Robinhood’s compact symbol format (AAPL4/17/26C250) is handled automatically by the parser — you do not need to convert it.</w:t>
      </w:r>
    </w:p>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2  Robinhood Trans Codes — What the Parser Reads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shd w:fill="0D6E6E" w:val="clear"/>
            <w:tcMar>
              <w:top w:type="dxa" w:w="100"/>
              <w:left w:type="dxa" w:w="130"/>
              <w:bottom w:type="dxa" w:w="100"/>
              <w:right w:type="dxa" w:w="100"/>
            </w:tcMar>
          </w:tcPr>
          <w:p>
            <w:r>
              <w:rPr>
                <w:rFonts w:ascii="Arial" w:cs="Arial" w:eastAsia="Arial" w:hAnsi="Arial"/>
                <w:b/>
                <w:bCs/>
                <w:color w:val="FFFFFF"/>
                <w:sz w:val="19"/>
                <w:szCs w:val="19"/>
              </w:rPr>
              <w:t xml:space="preserve">Trans Code</w:t>
            </w:r>
          </w:p>
        </w:tc>
        <w:tc>
          <w:tcPr>
            <w:tcW w:type="dxa" w:w="2400"/>
            <w:shd w:fill="0D6E6E" w:val="clear"/>
            <w:tcMar>
              <w:top w:type="dxa" w:w="100"/>
              <w:left w:type="dxa" w:w="130"/>
              <w:bottom w:type="dxa" w:w="100"/>
              <w:right w:type="dxa" w:w="100"/>
            </w:tcMar>
          </w:tcPr>
          <w:p>
            <w:r>
              <w:rPr>
                <w:rFonts w:ascii="Arial" w:cs="Arial" w:eastAsia="Arial" w:hAnsi="Arial"/>
                <w:b/>
                <w:bCs/>
                <w:color w:val="FFFFFF"/>
                <w:sz w:val="19"/>
                <w:szCs w:val="19"/>
              </w:rPr>
              <w:t xml:space="preserve">Meaning</w:t>
            </w:r>
          </w:p>
        </w:tc>
        <w:tc>
          <w:tcPr>
            <w:tcW w:type="dxa" w:w="2800"/>
            <w:shd w:fill="0D6E6E" w:val="clear"/>
            <w:tcMar>
              <w:top w:type="dxa" w:w="100"/>
              <w:left w:type="dxa" w:w="130"/>
              <w:bottom w:type="dxa" w:w="100"/>
              <w:right w:type="dxa" w:w="100"/>
            </w:tcMar>
          </w:tcPr>
          <w:p>
            <w:r>
              <w:rPr>
                <w:rFonts w:ascii="Arial" w:cs="Arial" w:eastAsia="Arial" w:hAnsi="Arial"/>
                <w:b/>
                <w:bCs/>
                <w:color w:val="FFFFFF"/>
                <w:sz w:val="19"/>
                <w:szCs w:val="19"/>
              </w:rPr>
              <w:t xml:space="preserve">Strategy derived</w:t>
            </w:r>
          </w:p>
        </w:tc>
        <w:tc>
          <w:tcPr>
            <w:tcW w:type="dxa" w:w="2760"/>
            <w:shd w:fill="0D6E6E" w:val="clear"/>
            <w:tcMar>
              <w:top w:type="dxa" w:w="100"/>
              <w:left w:type="dxa" w:w="130"/>
              <w:bottom w:type="dxa" w:w="100"/>
              <w:right w:type="dxa" w:w="100"/>
            </w:tcMar>
          </w:tcPr>
          <w:p>
            <w:r>
              <w:rPr>
                <w:rFonts w:ascii="Arial" w:cs="Arial" w:eastAsia="Arial" w:hAnsi="Arial"/>
                <w:b/>
                <w:bCs/>
                <w:color w:val="FFFFFF"/>
                <w:sz w:val="19"/>
                <w:szCs w:val="19"/>
              </w:rPr>
              <w:t xml:space="preserve">What parser does</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Sell to Open</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CC (call) or CSP (put)</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Creates open trade</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BTO</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 to Open</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Long Call (call) or Long Put (put)</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Creates open trade</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BTC</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Buy to Close</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Closes CC or CSP</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Closes trade, calculates P&amp;L</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STC</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Sell to Close</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Closes Long Call or Long Put</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Closes trade, calculates P&amp;L</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OEXP</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Option Expired</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CC, CSP, Long C/P</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Expired worthless</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OASGN</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Option Assigned</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CSP → lot created
CC → lot closed</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Assignment event</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OEXER</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Option Exercised</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Long Call/Put</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Flagged in Action Required — handle manually</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Stock Purchase</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N/A</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Stock lot created</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SELL</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Stock Sale</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N/A</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Stock lot closed</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DIV / CDIV</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Dividend</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N/A</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Silently skipped</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ACH / JNLC / SPL</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Transfer / Journal / Split</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N/A</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Silently skipped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OASGN rows come in pairs in Robinhood:  </w:t>
            </w:r>
            <w:r>
              <w:rPr>
                <w:rFonts w:ascii="Arial" w:cs="Arial" w:eastAsia="Arial" w:hAnsi="Arial"/>
                <w:color w:val="1A1A1A"/>
                <w:sz w:val="20"/>
                <w:szCs w:val="20"/>
              </w:rPr>
              <w:t xml:space="preserve">When a CSP is assigned, Robinhood emits two rows: (1) the option OASGN row and (2) a BUY row for the shares received. When a CC is called away: (1) OASGN option row and (2) a SELL row for the shares delivered. The END marker goes after both rows.</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3  What the Parser Can Handle Automatically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shd w:fill="0D6E6E" w:val="clear"/>
            <w:tcMar>
              <w:top w:type="dxa" w:w="100"/>
              <w:left w:type="dxa" w:w="130"/>
              <w:bottom w:type="dxa" w:w="100"/>
              <w:right w:type="dxa" w:w="100"/>
            </w:tcMar>
          </w:tcPr>
          <w:p>
            <w:r>
              <w:rPr>
                <w:rFonts w:ascii="Arial" w:cs="Arial" w:eastAsia="Arial" w:hAnsi="Arial"/>
                <w:b/>
                <w:bCs/>
                <w:color w:val="FFFFFF"/>
                <w:sz w:val="19"/>
                <w:szCs w:val="19"/>
              </w:rPr>
              <w:t xml:space="preserve">Strategy</w:t>
            </w:r>
          </w:p>
        </w:tc>
        <w:tc>
          <w:tcPr>
            <w:tcW w:type="dxa" w:w="2760"/>
            <w:shd w:fill="0D6E6E" w:val="clear"/>
            <w:tcMar>
              <w:top w:type="dxa" w:w="100"/>
              <w:left w:type="dxa" w:w="130"/>
              <w:bottom w:type="dxa" w:w="100"/>
              <w:right w:type="dxa" w:w="100"/>
            </w:tcMar>
          </w:tcPr>
          <w:p>
            <w:r>
              <w:rPr>
                <w:rFonts w:ascii="Arial" w:cs="Arial" w:eastAsia="Arial" w:hAnsi="Arial"/>
                <w:b/>
                <w:bCs/>
                <w:color w:val="FFFFFF"/>
                <w:sz w:val="19"/>
                <w:szCs w:val="19"/>
              </w:rPr>
              <w:t xml:space="preserve">Trans Codes needed</w:t>
            </w:r>
          </w:p>
        </w:tc>
        <w:tc>
          <w:tcPr>
            <w:tcW w:type="dxa" w:w="3000"/>
            <w:shd w:fill="0D6E6E" w:val="clear"/>
            <w:tcMar>
              <w:top w:type="dxa" w:w="100"/>
              <w:left w:type="dxa" w:w="130"/>
              <w:bottom w:type="dxa" w:w="100"/>
              <w:right w:type="dxa" w:w="100"/>
            </w:tcMar>
          </w:tcPr>
          <w:p>
            <w:r>
              <w:rPr>
                <w:rFonts w:ascii="Arial" w:cs="Arial" w:eastAsia="Arial" w:hAnsi="Arial"/>
                <w:b/>
                <w:bCs/>
                <w:color w:val="FFFFFF"/>
                <w:sz w:val="19"/>
                <w:szCs w:val="19"/>
              </w:rPr>
              <w:t xml:space="preserve">Result</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 expires worthless</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 + OEXP</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CSP, full premium</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CSP — closed early</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STO + BTC</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CSP, partial P&amp;L</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 assigned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 + OASGN + BUY</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closed + lot created</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 expires worthless</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STO + OEXP</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CC, premium kept</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CC — closed early</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 + BTC</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CC, partial P&amp;L</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 called away</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STO + OASGN + SELL</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closed + lot closed</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Shares purchased outright</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BUY</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Stock lot created</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Long Call / Long Put — closed</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BTO + STC</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with P&amp;L</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Long Call / Long Put — expired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BTO + OEXP</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Expired worthless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Strategies that cannot be automated:  </w:t>
            </w:r>
            <w:r>
              <w:rPr>
                <w:rFonts w:ascii="Arial" w:cs="Arial" w:eastAsia="Arial" w:hAnsi="Arial"/>
                <w:color w:val="1A1A1A"/>
                <w:sz w:val="20"/>
                <w:szCs w:val="20"/>
              </w:rPr>
              <w:t xml:space="preserve">Spreads, Iron Condors, Butterflies, Calendars, Diagonals — import legs individually and re-enter as chains via Log New Trade. OEXER rows are flagged in Action Required.</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4  How to Export from Robinhood</w:t>
      </w:r>
    </w:p>
    <w:p>
      <w:pPr>
        <w:pStyle w:val="ListParagraph"/>
        <w:numPr>
          <w:ilvl w:val="0"/>
          <w:numId w:val="2"/>
        </w:numPr>
        <w:spacing w:after="40" w:before="40"/>
      </w:pPr>
      <w:r>
        <w:rPr>
          <w:rFonts w:ascii="Arial" w:cs="Arial" w:eastAsia="Arial" w:hAnsi="Arial"/>
          <w:sz w:val="21"/>
          <w:szCs w:val="21"/>
        </w:rPr>
        <w:t xml:space="preserve">Open the Robinhood app or web interface.</w:t>
      </w:r>
    </w:p>
    <w:p>
      <w:pPr>
        <w:pStyle w:val="ListParagraph"/>
        <w:numPr>
          <w:ilvl w:val="0"/>
          <w:numId w:val="2"/>
        </w:numPr>
        <w:spacing w:after="40" w:before="40"/>
      </w:pPr>
      <w:r>
        <w:rPr>
          <w:rFonts w:ascii="Arial" w:cs="Arial" w:eastAsia="Arial" w:hAnsi="Arial"/>
          <w:sz w:val="21"/>
          <w:szCs w:val="21"/>
        </w:rPr>
        <w:t xml:space="preserve">Go to Account → Statements &amp; History → Account History.</w:t>
      </w:r>
    </w:p>
    <w:p>
      <w:pPr>
        <w:pStyle w:val="ListParagraph"/>
        <w:numPr>
          <w:ilvl w:val="0"/>
          <w:numId w:val="2"/>
        </w:numPr>
        <w:spacing w:after="40" w:before="40"/>
      </w:pPr>
      <w:r>
        <w:rPr>
          <w:rFonts w:ascii="Arial" w:cs="Arial" w:eastAsia="Arial" w:hAnsi="Arial"/>
          <w:sz w:val="21"/>
          <w:szCs w:val="21"/>
        </w:rPr>
        <w:t xml:space="preserve">Select the date range covering your full history.</w:t>
      </w:r>
    </w:p>
    <w:p>
      <w:pPr>
        <w:pStyle w:val="ListParagraph"/>
        <w:numPr>
          <w:ilvl w:val="0"/>
          <w:numId w:val="2"/>
        </w:numPr>
        <w:spacing w:after="40" w:before="40"/>
      </w:pPr>
      <w:r>
        <w:rPr>
          <w:rFonts w:ascii="Arial" w:cs="Arial" w:eastAsia="Arial" w:hAnsi="Arial"/>
          <w:sz w:val="21"/>
          <w:szCs w:val="21"/>
        </w:rPr>
        <w:t xml:space="preserve">Click Download CSV (or Export).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Robinhood limits exports to 12 months at a time.  </w:t>
            </w:r>
            <w:r>
              <w:rPr>
                <w:rFonts w:ascii="Arial" w:cs="Arial" w:eastAsia="Arial" w:hAnsi="Arial"/>
                <w:color w:val="1A1A1A"/>
                <w:sz w:val="20"/>
                <w:szCs w:val="20"/>
              </w:rPr>
              <w:t xml:space="preserve">If you have more than 12 months of history, download in yearly chunks and combine the files into one before adding END markers. Keep the header row only on the first chunk.</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5  The END Marker Rule</w:t>
      </w:r>
    </w:p>
    <w:p>
      <w:pPr>
        <w:spacing w:after="80" w:before="60"/>
      </w:pPr>
      <w:r>
        <w:rPr>
          <w:rFonts w:ascii="Arial" w:cs="Arial" w:eastAsia="Arial" w:hAnsi="Arial"/>
          <w:sz w:val="21"/>
          <w:szCs w:val="21"/>
        </w:rPr>
        <w:t xml:space="preserve">Add a row containing just the word END after every complete lot history. Group all rows for one wheel position together and place END after the final closing row (OEXP, OASGN+SELL, or BTC).</w:t>
      </w:r>
    </w:p>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6  Step-by-Step CSV Examples</w:t>
      </w:r>
    </w:p>
    <w:p>
      <w:pPr>
        <w:pStyle w:val="Heading2"/>
        <w:spacing w:after="100" w:before="240"/>
      </w:pPr>
      <w:r>
        <w:rPr>
          <w:rFonts w:ascii="Arial" w:cs="Arial" w:eastAsia="Arial" w:hAnsi="Arial"/>
          <w:b/>
          <w:bCs/>
          <w:color w:val="0D6E6E"/>
          <w:sz w:val="28"/>
          <w:szCs w:val="28"/>
        </w:rPr>
        <w:t xml:space="preserve">6.1  Full Wheel (CSP → Assignment → CC → Called Away)</w:t>
      </w:r>
    </w:p>
    <w:p>
      <w:pPr>
        <w:spacing w:after="80" w:before="60"/>
      </w:pPr>
      <w:r>
        <w:rPr>
          <w:rFonts w:ascii="Arial" w:cs="Arial" w:eastAsia="Arial" w:hAnsi="Arial"/>
          <w:sz w:val="21"/>
          <w:szCs w:val="21"/>
        </w:rPr>
        <w:t xml:space="preserve">Robinhood emits OASGN + BUY for assignment, and OASGN + SELL for called away. Both rows are needed before the END marker.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Activity Date,Process Date,Settle Date,Instrument,Description,Trans Code,Quantity,Price,Amount</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1/6/2026,1/7/2026,1/8/2026,AAPL2/20/26P220,AAPL Feb 20 2026 $220 Put,STO,2,$3.45,-$690.00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2/20/2026,2/21/2026,2/22/2026,AAPL2/20/26P220,AAPL Feb 20 2026 $220 Put,OASGN,2,$0.00,$0.00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2/20/2026,2/21/2026,2/22/2026,AAPL,AAPL Shares Assigned,BUY,200,$220.00,-$44000.00   ← lot created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3/3/2026,3/4/2026,3/5/2026,AAPL4/17/26C215,AAPL Apr 17 2026 $215 Call,STO,2,$3.80,-$760.00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3/21/2026,3/22/2026,3/23/2026,AAPL4/17/26C215,AAPL Apr 17 2026 $215 Call,BTC,2,$1.90,$380.00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3/25/2026,3/26/2026,3/27/2026,AAPL5/16/26C220,AAPL May 16 2026 $220 Call,STO,2,$5.10,-$1020.00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5/16/2026,5/17/2026,5/18/2026,AAPL5/16/26C220,AAPL May 16 2026 $220 Call,OASGN,2,$0.00,$0.00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5/16/2026,5/17/2026,5/18/2026,AAPL,AAPL Shares Called Away,SELL,200,$220.00,$44000.00  ← lot closed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6.2  CSP Expired Worthless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2/3/2026,2/4/2026,2/5/2026,NVDA2/27/26P125,NVDA Feb 27 2026 $125 Put,STO,2,$4.80,-$960.00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2/27/2026,2/28/2026,3/1/2026,NVDA2/27/26P125,NVDA Feb 27 2026 $125 Put,OEXP,2,$0.00,$0.00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6.3  CSP Closed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3/2/2026,3/3/2026,3/4/2026,MSFT3/21/26P395,MSFT Mar 21 2026 $395 Put,STO,1,$4.50,-$450.00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3/10/2026,3/11/2026,3/12/2026,MSFT3/21/26P395,MSFT Mar 21 2026 $395 Put,BTC,1,$2.25,$225.00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6.4  Covered Call on Outright Share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2/1/2026,2/2/2026,2/3/2026,TSLA,TSLA Stock Purchase,BUY,100,$310.00,-$31000.00   ← lot created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2/10/2026,2/11/2026,2/12/2026,TSLA3/21/26C320,TSLA Mar 21 2026 $320 Call,STO,1,$9.20,-$920.00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3/21/2026,3/22/2026,3/23/2026,TSLA3/21/26C320,TSLA Mar 21 2026 $320 Call,OEXP,1,$0.00,$0.00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3/25/2026,3/26/2026,3/27/2026,TSLA4/17/26C325,TSLA Apr 17 2026 $325 Call,STO,1,$8.40,-$840.00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4/17/2026,4/18/2026,4/19/2026,TSLA4/17/26C325,TSLA Apr 17 2026 $325 Call,OASGN,1,$0.00,$0.00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4/17/2026,4/18/2026,4/19/2026,TSLA,TSLA Shares Called Away,SELL,100,$325.00,$32500.00  ← lot closed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6.5  Directional Long Call (between END markers)</w:t>
      </w:r>
    </w:p>
    <w:p>
      <w:pPr>
        <w:spacing w:after="80" w:before="60"/>
      </w:pPr>
      <w:r>
        <w:rPr>
          <w:rFonts w:ascii="Arial" w:cs="Arial" w:eastAsia="Arial" w:hAnsi="Arial"/>
          <w:sz w:val="21"/>
          <w:szCs w:val="21"/>
        </w:rPr>
        <w:t xml:space="preserve">Long Calls and Long Puts used as directional bets are placed between END markers. No lot is created.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3/10/2026,3/11/2026,3/12/2026,META4/17/26C680,META Apr 17 2026 $680 Call,BTO,1,$12.30,-$1230.00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4/4/2026,4/5/2026,4/6/2026,META4/17/26C680,META Apr 17 2026 $680 Call,STC,1,$6.80,$680.00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7  Post-Import Checklist</w:t>
      </w:r>
    </w:p>
    <w:p>
      <w:pPr>
        <w:pStyle w:val="ListParagraph"/>
        <w:numPr>
          <w:ilvl w:val="0"/>
          <w:numId w:val="2"/>
        </w:numPr>
        <w:spacing w:after="40" w:before="40"/>
      </w:pPr>
      <w:r>
        <w:rPr>
          <w:rFonts w:ascii="Arial" w:cs="Arial" w:eastAsia="Arial" w:hAnsi="Arial"/>
          <w:sz w:val="21"/>
          <w:szCs w:val="21"/>
        </w:rPr>
        <w:t xml:space="preserve">Link every Covered Call to its stock lot — Trade Log → Edit → Linked Stock Lot.</w:t>
      </w:r>
    </w:p>
    <w:p>
      <w:pPr>
        <w:pStyle w:val="ListParagraph"/>
        <w:numPr>
          <w:ilvl w:val="0"/>
          <w:numId w:val="2"/>
        </w:numPr>
        <w:spacing w:after="40" w:before="40"/>
      </w:pPr>
      <w:r>
        <w:rPr>
          <w:rFonts w:ascii="Arial" w:cs="Arial" w:eastAsia="Arial" w:hAnsi="Arial"/>
          <w:sz w:val="21"/>
          <w:szCs w:val="21"/>
        </w:rPr>
        <w:t xml:space="preserve">Review the Action Required panel for any OASGN or OEXER events flagged.</w:t>
      </w:r>
    </w:p>
    <w:p>
      <w:pPr>
        <w:pStyle w:val="ListParagraph"/>
        <w:numPr>
          <w:ilvl w:val="0"/>
          <w:numId w:val="2"/>
        </w:numPr>
        <w:spacing w:after="40" w:before="40"/>
      </w:pPr>
      <w:r>
        <w:rPr>
          <w:rFonts w:ascii="Arial" w:cs="Arial" w:eastAsia="Arial" w:hAnsi="Arial"/>
          <w:sz w:val="21"/>
          <w:szCs w:val="21"/>
        </w:rPr>
        <w:t xml:space="preserve">Delete any spread/IC/calendar legs and re-enter manually via Log New Trade.</w:t>
      </w:r>
    </w:p>
    <w:p>
      <w:pPr>
        <w:pStyle w:val="ListParagraph"/>
        <w:numPr>
          <w:ilvl w:val="0"/>
          <w:numId w:val="2"/>
        </w:numPr>
        <w:spacing w:after="40" w:before="40"/>
      </w:pPr>
      <w:r>
        <w:rPr>
          <w:rFonts w:ascii="Arial" w:cs="Arial" w:eastAsia="Arial" w:hAnsi="Arial"/>
          <w:sz w:val="21"/>
          <w:szCs w:val="21"/>
        </w:rPr>
        <w:t xml:space="preserve">Verify trade count against your Robinhood statement.</w:t>
      </w:r>
    </w:p>
    <w:p>
      <w:pPr>
        <w:pStyle w:val="ListParagraph"/>
        <w:numPr>
          <w:ilvl w:val="0"/>
          <w:numId w:val="2"/>
        </w:numPr>
        <w:spacing w:after="40" w:before="40"/>
      </w:pPr>
      <w:r>
        <w:rPr>
          <w:rFonts w:ascii="Arial" w:cs="Arial" w:eastAsia="Arial" w:hAnsi="Arial"/>
          <w:sz w:val="21"/>
          <w:szCs w:val="21"/>
        </w:rPr>
        <w:t xml:space="preserve">Check Analytics — Gross Premium and Realised P&amp;L should match your history.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24"/>
              <w:bottom w:val="single" w:color="2E7D32" w:sz="6"/>
              <w:right w:val="single" w:color="2E7D32" w:sz="6"/>
            </w:tcBorders>
            <w:shd w:fill="E8F5E9" w:val="clear"/>
            <w:tcMar>
              <w:top w:type="dxa" w:w="100"/>
              <w:left w:type="dxa" w:w="130"/>
              <w:bottom w:type="dxa" w:w="100"/>
              <w:right w:type="dxa" w:w="100"/>
            </w:tcMar>
          </w:tcPr>
          <w:p>
            <w:r>
              <w:rPr>
                <w:rFonts w:ascii="Arial" w:cs="Arial" w:eastAsia="Arial" w:hAnsi="Arial"/>
                <w:b/>
                <w:bCs/>
                <w:color w:val="1B5E20"/>
                <w:sz w:val="20"/>
                <w:szCs w:val="20"/>
              </w:rPr>
              <w:t xml:space="preserve">✓  </w:t>
            </w:r>
            <w:r>
              <w:rPr>
                <w:rFonts w:ascii="Arial" w:cs="Arial" w:eastAsia="Arial" w:hAnsi="Arial"/>
                <w:b/>
                <w:bCs/>
                <w:color w:val="1B5E20"/>
                <w:sz w:val="20"/>
                <w:szCs w:val="20"/>
              </w:rPr>
              <w:t xml:space="preserve">You are done.  </w:t>
            </w:r>
            <w:r>
              <w:rPr>
                <w:rFonts w:ascii="Arial" w:cs="Arial" w:eastAsia="Arial" w:hAnsi="Arial"/>
                <w:color w:val="1A1A1A"/>
                <w:sz w:val="20"/>
                <w:szCs w:val="20"/>
              </w:rPr>
              <w:t xml:space="preserve">From this point forward, log all new trades directly in MyOptionDiary. Do not import CSV files again.</w:t>
            </w:r>
          </w:p>
        </w:tc>
      </w:tr>
    </w:tbl>
    <w:p>
      <w:pPr>
        <w:spacing w:before="200"/>
      </w:pPr>
    </w:p>
    <w:p>
      <w:pPr>
        <w:pBdr>
          <w:top w:val="single" w:color="CCCCCC" w:sz="4" w:space="4"/>
        </w:pBdr>
        <w:spacing w:before="200"/>
      </w:pPr>
      <w:r>
        <w:rPr>
          <w:rFonts w:ascii="Arial" w:cs="Arial" w:eastAsia="Arial" w:hAnsi="Arial"/>
          <w:i/>
          <w:iCs/>
          <w:color w:val="5D6D7E"/>
          <w:sz w:val="17"/>
          <w:szCs w:val="17"/>
        </w:rPr>
        <w:t xml:space="preserve">MyOptionDiary — Robinhood CSV Migration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D6E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2026-04-08T04:37:55.948Z</dcterms:created>
  <dcterms:modified xsi:type="dcterms:W3CDTF">2026-04-08T04:37:55.948Z</dcterms:modified>
</cp:coreProperties>
</file>

<file path=docProps/custom.xml><?xml version="1.0" encoding="utf-8"?>
<Properties xmlns="http://schemas.openxmlformats.org/officeDocument/2006/custom-properties" xmlns:vt="http://schemas.openxmlformats.org/officeDocument/2006/docPropsVTypes"/>
</file>