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B2A4A"/>
          <w:sz w:val="56"/>
          <w:szCs w:val="56"/>
        </w:rPr>
        <w:t xml:space="preserve">MyOptionDiary</w:t>
      </w:r>
    </w:p>
    <w:p>
      <w:pPr>
        <w:spacing w:after="80" w:before="0"/>
      </w:pPr>
      <w:r>
        <w:rPr>
          <w:rFonts w:ascii="Arial" w:cs="Arial" w:eastAsia="Arial" w:hAnsi="Arial"/>
          <w:b/>
          <w:bCs/>
          <w:color w:val="0D6E6E"/>
          <w:sz w:val="40"/>
          <w:szCs w:val="40"/>
        </w:rPr>
        <w:t xml:space="preserve">Schwab CSV Migration Guide</w:t>
      </w:r>
    </w:p>
    <w:p>
      <w:pPr>
        <w:spacing w:after="480" w:before="0"/>
      </w:pPr>
      <w:r>
        <w:rPr>
          <w:rFonts w:ascii="Arial" w:cs="Arial" w:eastAsia="Arial" w:hAnsi="Arial"/>
          <w:i/>
          <w:iCs/>
          <w:color w:val="5D6D7E"/>
          <w:sz w:val="22"/>
          <w:szCs w:val="22"/>
        </w:rPr>
        <w:t xml:space="preserve">How to prepare your Schwab export so MyOptionDiary can reconstruct your full wheel history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30A" w:sz="12"/>
              <w:left w:val="single" w:color="B7730A" w:sz="24"/>
              <w:bottom w:val="single" w:color="B7730A" w:sz="6"/>
              <w:right w:val="single" w:color="B7730A" w:sz="6"/>
            </w:tcBorders>
            <w:shd w:fill="FEF3CD" w:val="clear"/>
            <w:tcMar>
              <w:top w:type="dxa" w:w="100"/>
              <w:left w:type="dxa" w:w="130"/>
              <w:bottom w:type="dxa" w:w="100"/>
              <w:right w:type="dxa" w:w="100"/>
            </w:tcMar>
          </w:tcPr>
          <w:p>
            <w:r>
              <w:rPr>
                <w:rFonts w:ascii="Arial" w:cs="Arial" w:eastAsia="Arial" w:hAnsi="Arial"/>
                <w:b/>
                <w:bCs/>
                <w:color w:val="92600A"/>
                <w:sz w:val="20"/>
                <w:szCs w:val="20"/>
              </w:rPr>
              <w:t xml:space="preserve">📋  Migration tool — one time only.  </w:t>
            </w:r>
            <w:r>
              <w:rPr>
                <w:rFonts w:ascii="Arial" w:cs="Arial" w:eastAsia="Arial" w:hAnsi="Arial"/>
                <w:color w:val="1A1A1A"/>
                <w:sz w:val="20"/>
                <w:szCs w:val="20"/>
              </w:rPr>
              <w:t xml:space="preserve">CSV import is a one-time migration tool for loading your existing broker history. Once your history is imported, log all new trades through the app. Do not use repeated CSV imports as an ongoing workflow.</w:t>
            </w:r>
          </w:p>
        </w:tc>
      </w:tr>
    </w:tbl>
    <w:p>
      <w:pPr>
        <w:spacing w:before="240"/>
      </w:pPr>
    </w:p>
    <w:p>
      <w:pPr>
        <w:pStyle w:val="Heading1"/>
        <w:pBdr>
          <w:bottom w:val="single" w:color="0D6E6E" w:sz="8" w:space="4"/>
        </w:pBdr>
        <w:spacing w:after="160" w:before="300"/>
      </w:pPr>
      <w:r>
        <w:rPr>
          <w:rFonts w:ascii="Arial" w:cs="Arial" w:eastAsia="Arial" w:hAnsi="Arial"/>
          <w:b/>
          <w:bCs/>
          <w:color w:val="1B2A4A"/>
          <w:sz w:val="36"/>
          <w:szCs w:val="36"/>
        </w:rPr>
        <w:t xml:space="preserve">1  Overview</w:t>
      </w:r>
    </w:p>
    <w:p>
      <w:pPr>
        <w:spacing w:after="80" w:before="60"/>
      </w:pPr>
      <w:r>
        <w:rPr>
          <w:rFonts w:ascii="Arial" w:cs="Arial" w:eastAsia="Arial" w:hAnsi="Arial"/>
          <w:sz w:val="21"/>
          <w:szCs w:val="21"/>
        </w:rPr>
        <w:t xml:space="preserve">MyOptionDiary can reconstruct your complete wheel history — Cash-Secured Puts, assignments, Covered Calls, and called-away events — directly from your Schwab transaction CSV. The parser reads each row in sequence and builds your lots, trades, and wheel cycles automatically.</w:t>
      </w:r>
    </w:p>
    <w:p>
      <w:pPr>
        <w:spacing w:after="80" w:before="60"/>
      </w:pPr>
      <w:r>
        <w:rPr>
          <w:rFonts w:ascii="Arial" w:cs="Arial" w:eastAsia="Arial" w:hAnsi="Arial"/>
          <w:sz w:val="21"/>
          <w:szCs w:val="21"/>
        </w:rPr>
        <w:t xml:space="preserve">The key requirement is that you spend a few minutes rearranging your Schwab export before uploading. The rules are simple and this guide walks you through exactly what to do.</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12"/>
              <w:left w:val="single" w:color="0D6E6E" w:sz="24"/>
              <w:bottom w:val="single" w:color="0D6E6E" w:sz="6"/>
              <w:right w:val="single" w:color="0D6E6E" w:sz="6"/>
            </w:tcBorders>
            <w:shd w:fill="EAF4F4" w:val="clear"/>
            <w:tcMar>
              <w:top w:type="dxa" w:w="100"/>
              <w:left w:type="dxa" w:w="130"/>
              <w:bottom w:type="dxa" w:w="100"/>
              <w:right w:type="dxa" w:w="100"/>
            </w:tcMar>
          </w:tcPr>
          <w:p>
            <w:r>
              <w:rPr>
                <w:rFonts w:ascii="Arial" w:cs="Arial" w:eastAsia="Arial" w:hAnsi="Arial"/>
                <w:b/>
                <w:bCs/>
                <w:color w:val="0D6E6E"/>
                <w:sz w:val="20"/>
                <w:szCs w:val="20"/>
              </w:rPr>
              <w:t xml:space="preserve">⏱  Time required:  </w:t>
            </w:r>
            <w:r>
              <w:rPr>
                <w:rFonts w:ascii="Arial" w:cs="Arial" w:eastAsia="Arial" w:hAnsi="Arial"/>
                <w:color w:val="1A1A1A"/>
                <w:sz w:val="20"/>
                <w:szCs w:val="20"/>
              </w:rPr>
              <w:t xml:space="preserve">Most traders can prepare their CSV in 10–15 minutes. The rearrangement is straightforward once you understand the pattern.</w:t>
            </w:r>
          </w:p>
        </w:tc>
      </w:tr>
    </w:tbl>
    <w:p>
      <w:pPr>
        <w:spacing w:before="200"/>
      </w:pPr>
    </w:p>
    <w:p>
      <w:pPr>
        <w:pStyle w:val="Heading1"/>
        <w:pBdr>
          <w:bottom w:val="single" w:color="0D6E6E" w:sz="8" w:space="4"/>
        </w:pBdr>
        <w:spacing w:after="160" w:before="300"/>
      </w:pPr>
      <w:r>
        <w:rPr>
          <w:rFonts w:ascii="Arial" w:cs="Arial" w:eastAsia="Arial" w:hAnsi="Arial"/>
          <w:b/>
          <w:bCs/>
          <w:color w:val="1B2A4A"/>
          <w:sz w:val="36"/>
          <w:szCs w:val="36"/>
        </w:rPr>
        <w:t xml:space="preserve">2  What the Parser Can Handle Automatically</w:t>
      </w:r>
    </w:p>
    <w:p>
      <w:pPr>
        <w:spacing w:after="80" w:before="60"/>
      </w:pPr>
      <w:r>
        <w:rPr>
          <w:rFonts w:ascii="Arial" w:cs="Arial" w:eastAsia="Arial" w:hAnsi="Arial"/>
          <w:sz w:val="21"/>
          <w:szCs w:val="21"/>
        </w:rPr>
        <w:t xml:space="preserve">The following strategies are fully automatable from your Schwab CSV. The parser will create lots, link trades, calculate P&amp;L, and reconstruct wheel cycles without any manual work after import.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W w:type="dxa" w:w="3800"/>
            <w:shd w:fill="0D6E6E" w:val="clear"/>
            <w:tcMar>
              <w:top w:type="dxa" w:w="100"/>
              <w:left w:type="dxa" w:w="130"/>
              <w:bottom w:type="dxa" w:w="100"/>
              <w:right w:type="dxa" w:w="100"/>
            </w:tcMar>
          </w:tcPr>
          <w:p>
            <w:r>
              <w:rPr>
                <w:rFonts w:ascii="Arial" w:cs="Arial" w:eastAsia="Arial" w:hAnsi="Arial"/>
                <w:b/>
                <w:bCs/>
                <w:color w:val="FFFFFF"/>
                <w:sz w:val="19"/>
                <w:szCs w:val="19"/>
              </w:rPr>
              <w:t xml:space="preserve">Strategy</w:t>
            </w:r>
          </w:p>
        </w:tc>
        <w:tc>
          <w:tcPr>
            <w:tcW w:type="dxa" w:w="2800"/>
            <w:shd w:fill="0D6E6E" w:val="clear"/>
            <w:tcMar>
              <w:top w:type="dxa" w:w="100"/>
              <w:left w:type="dxa" w:w="130"/>
              <w:bottom w:type="dxa" w:w="100"/>
              <w:right w:type="dxa" w:w="100"/>
            </w:tcMar>
          </w:tcPr>
          <w:p>
            <w:r>
              <w:rPr>
                <w:rFonts w:ascii="Arial" w:cs="Arial" w:eastAsia="Arial" w:hAnsi="Arial"/>
                <w:b/>
                <w:bCs/>
                <w:color w:val="FFFFFF"/>
                <w:sz w:val="19"/>
                <w:szCs w:val="19"/>
              </w:rPr>
              <w:t xml:space="preserve">CSV rows needed</w:t>
            </w:r>
          </w:p>
        </w:tc>
        <w:tc>
          <w:tcPr>
            <w:tcW w:type="dxa" w:w="2760"/>
            <w:shd w:fill="0D6E6E" w:val="clear"/>
            <w:tcMar>
              <w:top w:type="dxa" w:w="100"/>
              <w:left w:type="dxa" w:w="130"/>
              <w:bottom w:type="dxa" w:w="100"/>
              <w:right w:type="dxa" w:w="100"/>
            </w:tcMar>
          </w:tcPr>
          <w:p>
            <w:r>
              <w:rPr>
                <w:rFonts w:ascii="Arial" w:cs="Arial" w:eastAsia="Arial" w:hAnsi="Arial"/>
                <w:b/>
                <w:bCs/>
                <w:color w:val="FFFFFF"/>
                <w:sz w:val="19"/>
                <w:szCs w:val="19"/>
              </w:rPr>
              <w:t xml:space="preserve">Result</w:t>
            </w:r>
          </w:p>
        </w:tc>
      </w:tr>
      <w:tr>
        <w:tc>
          <w:tcPr>
            <w:tcW w:type="dxa" w:w="38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Cash-Secured Put — expires worthless</w:t>
            </w:r>
          </w:p>
        </w:tc>
        <w:tc>
          <w:tcPr>
            <w:tcW w:type="dxa" w:w="28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Sell to Open + Expired</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Closed CSP, full premium kept</w:t>
            </w:r>
          </w:p>
        </w:tc>
      </w:tr>
      <w:tr>
        <w:tc>
          <w:tcPr>
            <w:tcW w:type="dxa" w:w="38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Cash-Secured Put — closed early</w:t>
            </w:r>
          </w:p>
        </w:tc>
        <w:tc>
          <w:tcPr>
            <w:tcW w:type="dxa" w:w="28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Sell to Open + Buy to Close</w:t>
            </w:r>
          </w:p>
        </w:tc>
        <w:tc>
          <w:tcPr>
            <w:tcW w:type="dxa" w:w="27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Closed CSP, partial premium</w:t>
            </w:r>
          </w:p>
        </w:tc>
      </w:tr>
      <w:tr>
        <w:tc>
          <w:tcPr>
            <w:tcW w:type="dxa" w:w="38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Cash-Secured Put — assigned</w:t>
            </w:r>
          </w:p>
        </w:tc>
        <w:tc>
          <w:tcPr>
            <w:tcW w:type="dxa" w:w="28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Sell to Open + Assigned</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Closed CSP + stock lot created automatically</w:t>
            </w:r>
          </w:p>
        </w:tc>
      </w:tr>
      <w:tr>
        <w:tc>
          <w:tcPr>
            <w:tcW w:type="dxa" w:w="38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Covered Call — expires worthless</w:t>
            </w:r>
          </w:p>
        </w:tc>
        <w:tc>
          <w:tcPr>
            <w:tcW w:type="dxa" w:w="28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Buy + Sell to Open + Expired</w:t>
            </w:r>
          </w:p>
        </w:tc>
        <w:tc>
          <w:tcPr>
            <w:tcW w:type="dxa" w:w="27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Closed CC, premium kept, lot continues</w:t>
            </w:r>
          </w:p>
        </w:tc>
      </w:tr>
      <w:tr>
        <w:tc>
          <w:tcPr>
            <w:tcW w:type="dxa" w:w="38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Covered Call — closed early</w:t>
            </w:r>
          </w:p>
        </w:tc>
        <w:tc>
          <w:tcPr>
            <w:tcW w:type="dxa" w:w="28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Buy + Sell to Open + Buy to Close</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Closed CC, partial premium, lot continues</w:t>
            </w:r>
          </w:p>
        </w:tc>
      </w:tr>
      <w:tr>
        <w:tc>
          <w:tcPr>
            <w:tcW w:type="dxa" w:w="38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Covered Call — called away</w:t>
            </w:r>
          </w:p>
        </w:tc>
        <w:tc>
          <w:tcPr>
            <w:tcW w:type="dxa" w:w="28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Buy + Sell to Open + Assigned (Call)</w:t>
            </w:r>
          </w:p>
        </w:tc>
        <w:tc>
          <w:tcPr>
            <w:tcW w:type="dxa" w:w="27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Closed CC + lot closed at strike price</w:t>
            </w:r>
          </w:p>
        </w:tc>
      </w:tr>
      <w:tr>
        <w:tc>
          <w:tcPr>
            <w:tcW w:type="dxa" w:w="38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Full Wheel cycle</w:t>
            </w:r>
          </w:p>
        </w:tc>
        <w:tc>
          <w:tcPr>
            <w:tcW w:type="dxa" w:w="28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CSP → Assigned → CC → Assigned</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Complete wheel reconstructed automatically</w:t>
            </w:r>
          </w:p>
        </w:tc>
      </w:tr>
      <w:tr>
        <w:tc>
          <w:tcPr>
            <w:tcW w:type="dxa" w:w="38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Long Call — closed</w:t>
            </w:r>
          </w:p>
        </w:tc>
        <w:tc>
          <w:tcPr>
            <w:tcW w:type="dxa" w:w="28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Buy to Open + Sell to Close</w:t>
            </w:r>
          </w:p>
        </w:tc>
        <w:tc>
          <w:tcPr>
            <w:tcW w:type="dxa" w:w="27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Closed Long Call with P&amp;L</w:t>
            </w:r>
          </w:p>
        </w:tc>
      </w:tr>
      <w:tr>
        <w:tc>
          <w:tcPr>
            <w:tcW w:type="dxa" w:w="38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Long Call — expired</w:t>
            </w:r>
          </w:p>
        </w:tc>
        <w:tc>
          <w:tcPr>
            <w:tcW w:type="dxa" w:w="28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Buy to Open + Expired</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Expired worthless</w:t>
            </w:r>
          </w:p>
        </w:tc>
      </w:tr>
      <w:tr>
        <w:tc>
          <w:tcPr>
            <w:tcW w:type="dxa" w:w="38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Long Put — closed</w:t>
            </w:r>
          </w:p>
        </w:tc>
        <w:tc>
          <w:tcPr>
            <w:tcW w:type="dxa" w:w="28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Buy to Open + Sell to Close</w:t>
            </w:r>
          </w:p>
        </w:tc>
        <w:tc>
          <w:tcPr>
            <w:tcW w:type="dxa" w:w="27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Closed Long Put with P&amp;L</w:t>
            </w:r>
          </w:p>
        </w:tc>
      </w:tr>
      <w:tr>
        <w:tc>
          <w:tcPr>
            <w:tcW w:type="dxa" w:w="38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Long Put — expired</w:t>
            </w:r>
          </w:p>
        </w:tc>
        <w:tc>
          <w:tcPr>
            <w:tcW w:type="dxa" w:w="28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Buy to Open + Expired</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Expired worthless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30A" w:sz="12"/>
              <w:left w:val="single" w:color="B7730A" w:sz="24"/>
              <w:bottom w:val="single" w:color="B7730A" w:sz="6"/>
              <w:right w:val="single" w:color="B7730A" w:sz="6"/>
            </w:tcBorders>
            <w:shd w:fill="FEF3CD" w:val="clear"/>
            <w:tcMar>
              <w:top w:type="dxa" w:w="100"/>
              <w:left w:type="dxa" w:w="130"/>
              <w:bottom w:type="dxa" w:w="100"/>
              <w:right w:type="dxa" w:w="100"/>
            </w:tcMar>
          </w:tcPr>
          <w:p>
            <w:r>
              <w:rPr>
                <w:rFonts w:ascii="Arial" w:cs="Arial" w:eastAsia="Arial" w:hAnsi="Arial"/>
                <w:b/>
                <w:bCs/>
                <w:color w:val="92600A"/>
                <w:sz w:val="20"/>
                <w:szCs w:val="20"/>
              </w:rPr>
              <w:t xml:space="preserve">⚠  Directional bets (Long Call / Long Put used speculatively):  </w:t>
            </w:r>
            <w:r>
              <w:rPr>
                <w:rFonts w:ascii="Arial" w:cs="Arial" w:eastAsia="Arial" w:hAnsi="Arial"/>
                <w:color w:val="1A1A1A"/>
                <w:sz w:val="20"/>
                <w:szCs w:val="20"/>
              </w:rPr>
              <w:t xml:space="preserve">If you bought a Long Call or Long Put as a directional bet with no linked stock position, include it between two END markers like any other strategy. The parser will import it correctly as a standalone trade. No lot will be created or linked.</w:t>
            </w:r>
          </w:p>
        </w:tc>
      </w:tr>
    </w:tbl>
    <w:p>
      <w:pPr>
        <w:spacing w:before="200"/>
      </w:pPr>
    </w:p>
    <w:p>
      <w:pPr>
        <w:pStyle w:val="Heading2"/>
        <w:spacing w:after="100" w:before="240"/>
      </w:pPr>
      <w:r>
        <w:rPr>
          <w:rFonts w:ascii="Arial" w:cs="Arial" w:eastAsia="Arial" w:hAnsi="Arial"/>
          <w:b/>
          <w:bCs/>
          <w:color w:val="0D6E6E"/>
          <w:sz w:val="28"/>
          <w:szCs w:val="28"/>
        </w:rPr>
        <w:t xml:space="preserve">2.1  What Cannot Be Imported Automatically</w:t>
      </w:r>
    </w:p>
    <w:p>
      <w:pPr>
        <w:spacing w:after="80" w:before="60"/>
      </w:pPr>
      <w:r>
        <w:rPr>
          <w:rFonts w:ascii="Arial" w:cs="Arial" w:eastAsia="Arial" w:hAnsi="Arial"/>
          <w:sz w:val="21"/>
          <w:szCs w:val="21"/>
        </w:rPr>
        <w:t xml:space="preserve">The following strategies must be entered manually in MyOptionDiary after the CSV import is complete. Delete any imported legs from the Trade Log and re-enter the full strategy via Log New Trade.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shd w:fill="0D6E6E" w:val="clear"/>
            <w:tcMar>
              <w:top w:type="dxa" w:w="100"/>
              <w:left w:type="dxa" w:w="130"/>
              <w:bottom w:type="dxa" w:w="100"/>
              <w:right w:type="dxa" w:w="100"/>
            </w:tcMar>
          </w:tcPr>
          <w:p>
            <w:r>
              <w:rPr>
                <w:rFonts w:ascii="Arial" w:cs="Arial" w:eastAsia="Arial" w:hAnsi="Arial"/>
                <w:b/>
                <w:bCs/>
                <w:color w:val="FFFFFF"/>
                <w:sz w:val="19"/>
                <w:szCs w:val="19"/>
              </w:rPr>
              <w:t xml:space="preserve">Strategy</w:t>
            </w:r>
          </w:p>
        </w:tc>
        <w:tc>
          <w:tcPr>
            <w:tcW w:type="dxa" w:w="5560"/>
            <w:shd w:fill="0D6E6E" w:val="clear"/>
            <w:tcMar>
              <w:top w:type="dxa" w:w="100"/>
              <w:left w:type="dxa" w:w="130"/>
              <w:bottom w:type="dxa" w:w="100"/>
              <w:right w:type="dxa" w:w="100"/>
            </w:tcMar>
          </w:tcPr>
          <w:p>
            <w:r>
              <w:rPr>
                <w:rFonts w:ascii="Arial" w:cs="Arial" w:eastAsia="Arial" w:hAnsi="Arial"/>
                <w:b/>
                <w:bCs/>
                <w:color w:val="FFFFFF"/>
                <w:sz w:val="19"/>
                <w:szCs w:val="19"/>
              </w:rPr>
              <w:t xml:space="preserve">Why it cannot be automated</w:t>
            </w:r>
          </w:p>
        </w:tc>
      </w:tr>
      <w:tr>
        <w:tc>
          <w:tcPr>
            <w:tcW w:type="dxa" w:w="38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Spreads (Bull Put, Bear Call, Bull Call, Bear Put)</w:t>
            </w:r>
          </w:p>
        </w:tc>
        <w:tc>
          <w:tcPr>
            <w:tcW w:type="dxa" w:w="55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Two legs import as unrelated standalone trades — chain linking cannot be inferred</w:t>
            </w:r>
          </w:p>
        </w:tc>
      </w:tr>
      <w:tr>
        <w:tc>
          <w:tcPr>
            <w:tcW w:type="dxa" w:w="38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Iron Condor / Iron Butterfly</w:t>
            </w:r>
          </w:p>
        </w:tc>
        <w:tc>
          <w:tcPr>
            <w:tcW w:type="dxa" w:w="55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Four legs — same issue</w:t>
            </w:r>
          </w:p>
        </w:tc>
      </w:tr>
      <w:tr>
        <w:tc>
          <w:tcPr>
            <w:tcW w:type="dxa" w:w="38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Calendar Spread / Diagonal Spread</w:t>
            </w:r>
          </w:p>
        </w:tc>
        <w:tc>
          <w:tcPr>
            <w:tcW w:type="dxa" w:w="55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Two legs at different expirations — parser cannot detect the relationship</w:t>
            </w:r>
          </w:p>
        </w:tc>
      </w:tr>
      <w:tr>
        <w:tc>
          <w:tcPr>
            <w:tcW w:type="dxa" w:w="38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Long Straddle / Long Strangle</w:t>
            </w:r>
          </w:p>
        </w:tc>
        <w:tc>
          <w:tcPr>
            <w:tcW w:type="dxa" w:w="55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Call + Put at same expiry — ambiguous without additional context</w:t>
            </w:r>
          </w:p>
        </w:tc>
      </w:tr>
    </w:tbl>
    <w:p>
      <w:pPr>
        <w:spacing w:before="300"/>
      </w:pPr>
    </w:p>
    <w:p>
      <w:r>
        <w:br w:type="page"/>
      </w:r>
    </w:p>
    <w:p>
      <w:pPr>
        <w:pStyle w:val="Heading1"/>
        <w:pBdr>
          <w:bottom w:val="single" w:color="0D6E6E" w:sz="8" w:space="4"/>
        </w:pBdr>
        <w:spacing w:after="160" w:before="300"/>
      </w:pPr>
      <w:r>
        <w:rPr>
          <w:rFonts w:ascii="Arial" w:cs="Arial" w:eastAsia="Arial" w:hAnsi="Arial"/>
          <w:b/>
          <w:bCs/>
          <w:color w:val="1B2A4A"/>
          <w:sz w:val="36"/>
          <w:szCs w:val="36"/>
        </w:rPr>
        <w:t xml:space="preserve">3  The Golden Rule — END Markers</w:t>
      </w:r>
    </w:p>
    <w:p>
      <w:pPr>
        <w:spacing w:after="80" w:before="60"/>
      </w:pPr>
      <w:r>
        <w:rPr>
          <w:rFonts w:ascii="Arial" w:cs="Arial" w:eastAsia="Arial" w:hAnsi="Arial"/>
          <w:sz w:val="21"/>
          <w:szCs w:val="21"/>
        </w:rPr>
        <w:t xml:space="preserve">The most important thing you will do when preparing your CSV is add END markers. An END marker is a single row containing just the word END that you insert after every complete lot history.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12"/>
              <w:left w:val="single" w:color="0D6E6E" w:sz="24"/>
              <w:bottom w:val="single" w:color="0D6E6E" w:sz="6"/>
              <w:right w:val="single" w:color="0D6E6E" w:sz="6"/>
            </w:tcBorders>
            <w:shd w:fill="EAF4F4" w:val="clear"/>
            <w:tcMar>
              <w:top w:type="dxa" w:w="100"/>
              <w:left w:type="dxa" w:w="130"/>
              <w:bottom w:type="dxa" w:w="100"/>
              <w:right w:type="dxa" w:w="100"/>
            </w:tcMar>
          </w:tcPr>
          <w:p>
            <w:r>
              <w:rPr>
                <w:rFonts w:ascii="Arial" w:cs="Arial" w:eastAsia="Arial" w:hAnsi="Arial"/>
                <w:b/>
                <w:bCs/>
                <w:color w:val="0D6E6E"/>
                <w:sz w:val="20"/>
                <w:szCs w:val="20"/>
              </w:rPr>
              <w:t xml:space="preserve">💡  Why END markers matter:  </w:t>
            </w:r>
            <w:r>
              <w:rPr>
                <w:rFonts w:ascii="Arial" w:cs="Arial" w:eastAsia="Arial" w:hAnsi="Arial"/>
                <w:color w:val="1A1A1A"/>
                <w:sz w:val="20"/>
                <w:szCs w:val="20"/>
              </w:rPr>
              <w:t xml:space="preserve">Without END markers, the parser cannot tell where one wheel position ends and the next begins — especially when you have run multiple wheels on the same ticker. END markers give the parser an unambiguous boundary.</w:t>
            </w:r>
          </w:p>
        </w:tc>
      </w:tr>
    </w:tbl>
    <w:p>
      <w:pPr>
        <w:spacing w:before="160"/>
      </w:pPr>
    </w:p>
    <w:p>
      <w:pPr>
        <w:pStyle w:val="Heading2"/>
        <w:spacing w:after="100" w:before="240"/>
      </w:pPr>
      <w:r>
        <w:rPr>
          <w:rFonts w:ascii="Arial" w:cs="Arial" w:eastAsia="Arial" w:hAnsi="Arial"/>
          <w:b/>
          <w:bCs/>
          <w:color w:val="0D6E6E"/>
          <w:sz w:val="28"/>
          <w:szCs w:val="28"/>
        </w:rPr>
        <w:t xml:space="preserve">3.1  END Marker Format</w:t>
      </w:r>
    </w:p>
    <w:p>
      <w:pPr>
        <w:spacing w:after="80" w:before="60"/>
      </w:pPr>
      <w:r>
        <w:rPr>
          <w:rFonts w:ascii="Arial" w:cs="Arial" w:eastAsia="Arial" w:hAnsi="Arial"/>
          <w:sz w:val="21"/>
          <w:szCs w:val="21"/>
        </w:rPr>
        <w:t xml:space="preserve">Add a single row with just the word END after the last entry for each lot. No quotes, no other columns.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2C3E50" w:val="clear"/>
            <w:tcMar>
              <w:top w:type="dxa" w:w="50"/>
              <w:left w:type="dxa" w:w="200"/>
              <w:bottom w:type="dxa" w:w="50"/>
              <w:right w:type="dxa" w:w="120"/>
            </w:tcMar>
          </w:tcPr>
          <w:p>
            <w:r>
              <w:rPr>
                <w:rFonts w:ascii="Courier New" w:cs="Courier New" w:eastAsia="Courier New" w:hAnsi="Courier New"/>
                <w:color w:val="FFFFFF"/>
                <w:sz w:val="17"/>
                <w:szCs w:val="17"/>
              </w:rPr>
              <w:t xml:space="preserve">Date,Action,Symbol,Description,Quantity,Price,Fees &amp; Comm,Amount</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01/06/2026,Sell to Open,AAPL 01/30/2026 220.00 P,APPLE INC 220 Put,1,3.45,0.65,-345.00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01/30/2026,Assigned,AAPL 01/30/2026 220.00 P,APPLE INC 220 Put,1,0,0,0.00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02/10/2026,Sell to Open,AAPL 03/21/2026 215.00 C,APPLE INC 215 Call,1,3.80,0.65,-380.00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03/21/2026,Expired,AAPL 03/21/2026 215.00 C,APPLE INC 215 Call,1,0,0,0.00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02/03/2026,Sell to Open,NVDA 02/27/2026 125.00 P,NVIDIA 125 Put,1,4.80,0.65,-480.00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02/27/2026,Expired,NVDA 02/27/2026 125.00 P,NVIDIA 125 Put,1,0,0,0.00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bl>
    <w:p>
      <w:pPr>
        <w:spacing w:before="300"/>
      </w:pPr>
    </w:p>
    <w:p>
      <w:r>
        <w:br w:type="page"/>
      </w:r>
    </w:p>
    <w:p>
      <w:pPr>
        <w:pStyle w:val="Heading1"/>
        <w:pBdr>
          <w:bottom w:val="single" w:color="0D6E6E" w:sz="8" w:space="4"/>
        </w:pBdr>
        <w:spacing w:after="160" w:before="300"/>
      </w:pPr>
      <w:r>
        <w:rPr>
          <w:rFonts w:ascii="Arial" w:cs="Arial" w:eastAsia="Arial" w:hAnsi="Arial"/>
          <w:b/>
          <w:bCs/>
          <w:color w:val="1B2A4A"/>
          <w:sz w:val="36"/>
          <w:szCs w:val="36"/>
        </w:rPr>
        <w:t xml:space="preserve">4  Step-by-Step Rules for Each Strategy</w:t>
      </w:r>
    </w:p>
    <w:p>
      <w:pPr>
        <w:pStyle w:val="Heading2"/>
        <w:spacing w:after="100" w:before="240"/>
      </w:pPr>
      <w:r>
        <w:rPr>
          <w:rFonts w:ascii="Arial" w:cs="Arial" w:eastAsia="Arial" w:hAnsi="Arial"/>
          <w:b/>
          <w:bCs/>
          <w:color w:val="0D6E6E"/>
          <w:sz w:val="28"/>
          <w:szCs w:val="28"/>
        </w:rPr>
        <w:t xml:space="preserve">4.1  Full Wheel Cycle (CSP → Assignment → Covered Calls → Called Away)</w:t>
      </w:r>
    </w:p>
    <w:p>
      <w:pPr>
        <w:spacing w:after="80" w:before="60"/>
      </w:pPr>
      <w:r>
        <w:rPr>
          <w:rFonts w:ascii="Arial" w:cs="Arial" w:eastAsia="Arial" w:hAnsi="Arial"/>
          <w:sz w:val="21"/>
          <w:szCs w:val="21"/>
        </w:rPr>
        <w:t xml:space="preserve">This is the most common pattern. Follow this sequence for each ticker you wheeled.</w:t>
      </w:r>
    </w:p>
    <w:p>
      <w:pPr>
        <w:spacing w:before="80"/>
      </w:pPr>
    </w:p>
    <w:p>
      <w:pPr>
        <w:pStyle w:val="ListParagraph"/>
        <w:numPr>
          <w:ilvl w:val="0"/>
          <w:numId w:val="2"/>
        </w:numPr>
        <w:spacing w:after="40" w:before="40"/>
      </w:pPr>
      <w:r>
        <w:rPr>
          <w:rFonts w:ascii="Arial" w:cs="Arial" w:eastAsia="Arial" w:hAnsi="Arial"/>
          <w:sz w:val="21"/>
          <w:szCs w:val="21"/>
        </w:rPr>
        <w:t xml:space="preserve">Sell to Open — your Cash-Secured Put entry.</w:t>
      </w:r>
    </w:p>
    <w:p>
      <w:pPr>
        <w:pStyle w:val="ListParagraph"/>
        <w:numPr>
          <w:ilvl w:val="0"/>
          <w:numId w:val="2"/>
        </w:numPr>
        <w:spacing w:after="40" w:before="40"/>
      </w:pPr>
      <w:r>
        <w:rPr>
          <w:rFonts w:ascii="Arial" w:cs="Arial" w:eastAsia="Arial" w:hAnsi="Arial"/>
          <w:sz w:val="21"/>
          <w:szCs w:val="21"/>
        </w:rPr>
        <w:t xml:space="preserve">Assigned — you were assigned shares. The parser automatically creates a stock lot at the strike price.</w:t>
      </w:r>
    </w:p>
    <w:p>
      <w:pPr>
        <w:pStyle w:val="ListParagraph"/>
        <w:numPr>
          <w:ilvl w:val="0"/>
          <w:numId w:val="2"/>
        </w:numPr>
        <w:spacing w:after="40" w:before="40"/>
      </w:pPr>
      <w:r>
        <w:rPr>
          <w:rFonts w:ascii="Arial" w:cs="Arial" w:eastAsia="Arial" w:hAnsi="Arial"/>
          <w:sz w:val="21"/>
          <w:szCs w:val="21"/>
        </w:rPr>
        <w:t xml:space="preserve">Sell to Open — first Covered Call written against the assigned shares.</w:t>
      </w:r>
    </w:p>
    <w:p>
      <w:pPr>
        <w:pStyle w:val="ListParagraph"/>
        <w:numPr>
          <w:ilvl w:val="0"/>
          <w:numId w:val="2"/>
        </w:numPr>
        <w:spacing w:after="40" w:before="40"/>
      </w:pPr>
      <w:r>
        <w:rPr>
          <w:rFonts w:ascii="Arial" w:cs="Arial" w:eastAsia="Arial" w:hAnsi="Arial"/>
          <w:sz w:val="21"/>
          <w:szCs w:val="21"/>
        </w:rPr>
        <w:t xml:space="preserve">Buy to Close (optional) — if you bought the CC back early, add this row. Then add another Sell to Open for the next CC.</w:t>
      </w:r>
    </w:p>
    <w:p>
      <w:pPr>
        <w:pStyle w:val="ListParagraph"/>
        <w:numPr>
          <w:ilvl w:val="0"/>
          <w:numId w:val="2"/>
        </w:numPr>
        <w:spacing w:after="40" w:before="40"/>
      </w:pPr>
      <w:r>
        <w:rPr>
          <w:rFonts w:ascii="Arial" w:cs="Arial" w:eastAsia="Arial" w:hAnsi="Arial"/>
          <w:sz w:val="21"/>
          <w:szCs w:val="21"/>
        </w:rPr>
        <w:t xml:space="preserve">Repeat step 3–4 for each CC written against this lot.</w:t>
      </w:r>
    </w:p>
    <w:p>
      <w:pPr>
        <w:pStyle w:val="ListParagraph"/>
        <w:numPr>
          <w:ilvl w:val="0"/>
          <w:numId w:val="2"/>
        </w:numPr>
        <w:spacing w:after="40" w:before="40"/>
      </w:pPr>
      <w:r>
        <w:rPr>
          <w:rFonts w:ascii="Arial" w:cs="Arial" w:eastAsia="Arial" w:hAnsi="Arial"/>
          <w:sz w:val="21"/>
          <w:szCs w:val="21"/>
        </w:rPr>
        <w:t xml:space="preserve">Assigned (Call) — shares called away. The parser closes the lot at the strike price and records the share gain.</w:t>
      </w:r>
    </w:p>
    <w:p>
      <w:pPr>
        <w:pStyle w:val="ListParagraph"/>
        <w:numPr>
          <w:ilvl w:val="0"/>
          <w:numId w:val="2"/>
        </w:numPr>
        <w:spacing w:after="40" w:before="40"/>
      </w:pPr>
      <w:r>
        <w:rPr>
          <w:rFonts w:ascii="Arial" w:cs="Arial" w:eastAsia="Arial" w:hAnsi="Arial"/>
          <w:sz w:val="21"/>
          <w:szCs w:val="21"/>
        </w:rPr>
        <w:t xml:space="preserve">END — marks the end of this wheel position.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2C3E50" w:val="clear"/>
            <w:tcMar>
              <w:top w:type="dxa" w:w="50"/>
              <w:left w:type="dxa" w:w="200"/>
              <w:bottom w:type="dxa" w:w="50"/>
              <w:right w:type="dxa" w:w="120"/>
            </w:tcMar>
          </w:tcPr>
          <w:p>
            <w:r>
              <w:rPr>
                <w:rFonts w:ascii="Courier New" w:cs="Courier New" w:eastAsia="Courier New" w:hAnsi="Courier New"/>
                <w:color w:val="FFFFFF"/>
                <w:sz w:val="17"/>
                <w:szCs w:val="17"/>
              </w:rPr>
              <w:t xml:space="preserve">Date,Action,Symbol,Description,Quantity,Price,Fees &amp; Comm,Amount  ← keep header on first row only</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01/06/2026,Sell to Open,AAPL 01/30/2026 220.00 P,APPLE INC CSP,2,3.45,1.30,-690.00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01/30/2026,Assigned,AAPL 01/30/2026 220.00 P,APPLE INC Assigned,2,0,0,0.00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02/10/2026,Sell to Open,AAPL 03/21/2026 215.00 C,APPLE INC CC,2,3.80,1.30,-760.00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03/21/2026,Expired,AAPL 03/21/2026 215.00 C,APPLE INC CC Expired,2,0,0,0.00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02/23/2026,Sell to Open,AAPL 03/21/2026 220.00 C,APPLE INC CC,2,5.10,1.30,-1020.00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03/21/2026,Assigned,AAPL 03/21/2026 220.00 C,APPLE INC Called Away,2,0,0,0.00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bl>
    <w:p>
      <w:pPr>
        <w:spacing w:before="200"/>
      </w:pPr>
    </w:p>
    <w:p>
      <w:pPr>
        <w:pStyle w:val="Heading2"/>
        <w:spacing w:after="100" w:before="240"/>
      </w:pPr>
      <w:r>
        <w:rPr>
          <w:rFonts w:ascii="Arial" w:cs="Arial" w:eastAsia="Arial" w:hAnsi="Arial"/>
          <w:b/>
          <w:bCs/>
          <w:color w:val="0D6E6E"/>
          <w:sz w:val="28"/>
          <w:szCs w:val="28"/>
        </w:rPr>
        <w:t xml:space="preserve">4.2  Cash-Secured Put Only (No Assignment)</w:t>
      </w:r>
    </w:p>
    <w:p>
      <w:pPr>
        <w:pStyle w:val="ListParagraph"/>
        <w:numPr>
          <w:ilvl w:val="0"/>
          <w:numId w:val="2"/>
        </w:numPr>
        <w:spacing w:after="40" w:before="40"/>
      </w:pPr>
      <w:r>
        <w:rPr>
          <w:rFonts w:ascii="Arial" w:cs="Arial" w:eastAsia="Arial" w:hAnsi="Arial"/>
          <w:sz w:val="21"/>
          <w:szCs w:val="21"/>
        </w:rPr>
        <w:t xml:space="preserve">Sell to Open — CSP entry.</w:t>
      </w:r>
    </w:p>
    <w:p>
      <w:pPr>
        <w:pStyle w:val="ListParagraph"/>
        <w:numPr>
          <w:ilvl w:val="0"/>
          <w:numId w:val="2"/>
        </w:numPr>
        <w:spacing w:after="40" w:before="40"/>
      </w:pPr>
      <w:r>
        <w:rPr>
          <w:rFonts w:ascii="Arial" w:cs="Arial" w:eastAsia="Arial" w:hAnsi="Arial"/>
          <w:sz w:val="21"/>
          <w:szCs w:val="21"/>
        </w:rPr>
        <w:t xml:space="preserve">Expired OR Buy to Close — expired worthless or closed early.</w:t>
      </w:r>
    </w:p>
    <w:p>
      <w:pPr>
        <w:pStyle w:val="ListParagraph"/>
        <w:numPr>
          <w:ilvl w:val="0"/>
          <w:numId w:val="2"/>
        </w:numPr>
        <w:spacing w:after="40" w:before="40"/>
      </w:pPr>
      <w:r>
        <w:rPr>
          <w:rFonts w:ascii="Arial" w:cs="Arial" w:eastAsia="Arial" w:hAnsi="Arial"/>
          <w:sz w:val="21"/>
          <w:szCs w:val="21"/>
        </w:rPr>
        <w:t xml:space="preserve">END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2C3E50" w:val="clear"/>
            <w:tcMar>
              <w:top w:type="dxa" w:w="50"/>
              <w:left w:type="dxa" w:w="200"/>
              <w:bottom w:type="dxa" w:w="50"/>
              <w:right w:type="dxa" w:w="120"/>
            </w:tcMar>
          </w:tcPr>
          <w:p>
            <w:r>
              <w:rPr>
                <w:rFonts w:ascii="Courier New" w:cs="Courier New" w:eastAsia="Courier New" w:hAnsi="Courier New"/>
                <w:color w:val="FFFFFF"/>
                <w:sz w:val="17"/>
                <w:szCs w:val="17"/>
              </w:rPr>
              <w:t xml:space="preserve">01/06/2026,Sell to Open,NVDA 01/30/2026 130.00 P,NVIDIA CSP,1,4.80,0.65,-480.00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01/30/2026,Expired,NVDA 01/30/2026 130.00 P,NVIDIA CSP Expired,1,0,0,0.00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bl>
    <w:p>
      <w:pPr>
        <w:spacing w:before="140"/>
      </w:pPr>
      <w:r>
        <w:rPr>
          <w:rFonts w:ascii="Arial" w:cs="Arial" w:eastAsia="Arial" w:hAnsi="Arial"/>
          <w:b/>
          <w:bCs/>
          <w:sz w:val="21"/>
          <w:szCs w:val="21"/>
        </w:rPr>
        <w:t xml:space="preserve">Example 1 — Expired worthless (shown above)</w:t>
      </w:r>
    </w:p>
    <w:p>
      <w:pPr>
        <w:spacing w:before="120"/>
      </w:pPr>
      <w:r>
        <w:rPr>
          <w:rFonts w:ascii="Arial" w:cs="Arial" w:eastAsia="Arial" w:hAnsi="Arial"/>
          <w:b/>
          <w:bCs/>
          <w:sz w:val="21"/>
          <w:szCs w:val="21"/>
        </w:rPr>
        <w:t xml:space="preserve">Example 2 — Closed Early (bought back at 50% profit):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2C3E50" w:val="clear"/>
            <w:tcMar>
              <w:top w:type="dxa" w:w="50"/>
              <w:left w:type="dxa" w:w="200"/>
              <w:bottom w:type="dxa" w:w="50"/>
              <w:right w:type="dxa" w:w="120"/>
            </w:tcMar>
          </w:tcPr>
          <w:p>
            <w:r>
              <w:rPr>
                <w:rFonts w:ascii="Courier New" w:cs="Courier New" w:eastAsia="Courier New" w:hAnsi="Courier New"/>
                <w:color w:val="FFFFFF"/>
                <w:sz w:val="17"/>
                <w:szCs w:val="17"/>
              </w:rPr>
              <w:t xml:space="preserve">03/02/2026,Sell to Open,MSFT 03/21/2026 395.00 P,MICROSOFT CSP,1,4.50,0.65,-450.00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03/10/2026,Buy to Close,MSFT 03/21/2026 395.00 P,MICROSOFT CSP Closed Early,1,2.25,0.65,225.00</w:t>
            </w:r>
          </w:p>
        </w:tc>
      </w:tr>
      <w:tr>
        <w:tc>
          <w:tcPr>
            <w:tcW w:type="dxa" w:w="9360"/>
            <w:tcBorders>
              <w:top w:val="single" w:color="BDC3C7" w:sz="4"/>
              <w:left w:val="single" w:color="BDC3C7" w:sz="4"/>
              <w:bottom w:val="single" w:color="BDC3C7" w:sz="4"/>
              <w:right w:val="single" w:color="BDC3C7" w:sz="4"/>
            </w:tcBorders>
            <w:shd w:fill="FFFFFF"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bl>
    <w:p>
      <w:pPr>
        <w:spacing w:before="80"/>
      </w:pPr>
      <w:r>
        <w:rPr>
          <w:rFonts w:ascii="Arial" w:cs="Arial" w:eastAsia="Arial" w:hAnsi="Arial"/>
          <w:i/>
          <w:iCs/>
          <w:color w:val="5D6D7E"/>
          <w:sz w:val="19"/>
          <w:szCs w:val="19"/>
        </w:rPr>
        <w:t xml:space="preserve">Entered at $4.50, bought back at $2.25 on 03/10 before expiry. P&amp;L = ($4.50 − $2.25) × 1 × 100 = +$225. The put expires on 03/21 but the position is already closed — no Expired row needed.</w:t>
      </w:r>
    </w:p>
    <w:p>
      <w:pPr>
        <w:spacing w:before="200"/>
      </w:pPr>
    </w:p>
    <w:p>
      <w:pPr>
        <w:pStyle w:val="Heading2"/>
        <w:spacing w:after="100" w:before="240"/>
      </w:pPr>
      <w:r>
        <w:rPr>
          <w:rFonts w:ascii="Arial" w:cs="Arial" w:eastAsia="Arial" w:hAnsi="Arial"/>
          <w:b/>
          <w:bCs/>
          <w:color w:val="0D6E6E"/>
          <w:sz w:val="28"/>
          <w:szCs w:val="28"/>
        </w:rPr>
        <w:t xml:space="preserve">4.3  Covered Call on Shares Purchased Outright</w:t>
      </w:r>
    </w:p>
    <w:p>
      <w:pPr>
        <w:spacing w:after="80" w:before="60"/>
      </w:pPr>
      <w:r>
        <w:rPr>
          <w:rFonts w:ascii="Arial" w:cs="Arial" w:eastAsia="Arial" w:hAnsi="Arial"/>
          <w:sz w:val="21"/>
          <w:szCs w:val="21"/>
        </w:rPr>
        <w:t xml:space="preserve">If you bought shares outright (not via CSP assignment), add a Buy row first so the parser can create the stock lot.</w:t>
      </w:r>
    </w:p>
    <w:p>
      <w:pPr>
        <w:pStyle w:val="ListParagraph"/>
        <w:numPr>
          <w:ilvl w:val="0"/>
          <w:numId w:val="2"/>
        </w:numPr>
        <w:spacing w:after="40" w:before="40"/>
      </w:pPr>
      <w:r>
        <w:rPr>
          <w:rFonts w:ascii="Arial" w:cs="Arial" w:eastAsia="Arial" w:hAnsi="Arial"/>
          <w:sz w:val="21"/>
          <w:szCs w:val="21"/>
        </w:rPr>
        <w:t xml:space="preserve">Buy — stock purchase. Parser creates the lot.</w:t>
      </w:r>
    </w:p>
    <w:p>
      <w:pPr>
        <w:pStyle w:val="ListParagraph"/>
        <w:numPr>
          <w:ilvl w:val="0"/>
          <w:numId w:val="2"/>
        </w:numPr>
        <w:spacing w:after="40" w:before="40"/>
      </w:pPr>
      <w:r>
        <w:rPr>
          <w:rFonts w:ascii="Arial" w:cs="Arial" w:eastAsia="Arial" w:hAnsi="Arial"/>
          <w:sz w:val="21"/>
          <w:szCs w:val="21"/>
        </w:rPr>
        <w:t xml:space="preserve">Sell to Open — CC written against those shares.</w:t>
      </w:r>
    </w:p>
    <w:p>
      <w:pPr>
        <w:pStyle w:val="ListParagraph"/>
        <w:numPr>
          <w:ilvl w:val="0"/>
          <w:numId w:val="2"/>
        </w:numPr>
        <w:spacing w:after="40" w:before="40"/>
      </w:pPr>
      <w:r>
        <w:rPr>
          <w:rFonts w:ascii="Arial" w:cs="Arial" w:eastAsia="Arial" w:hAnsi="Arial"/>
          <w:sz w:val="21"/>
          <w:szCs w:val="21"/>
        </w:rPr>
        <w:t xml:space="preserve">Buy to Close (optional) — if closed early.</w:t>
      </w:r>
    </w:p>
    <w:p>
      <w:pPr>
        <w:pStyle w:val="ListParagraph"/>
        <w:numPr>
          <w:ilvl w:val="0"/>
          <w:numId w:val="2"/>
        </w:numPr>
        <w:spacing w:after="40" w:before="40"/>
      </w:pPr>
      <w:r>
        <w:rPr>
          <w:rFonts w:ascii="Arial" w:cs="Arial" w:eastAsia="Arial" w:hAnsi="Arial"/>
          <w:sz w:val="21"/>
          <w:szCs w:val="21"/>
        </w:rPr>
        <w:t xml:space="preserve">Sell to Open — next CC (optional, repeat).</w:t>
      </w:r>
    </w:p>
    <w:p>
      <w:pPr>
        <w:pStyle w:val="ListParagraph"/>
        <w:numPr>
          <w:ilvl w:val="0"/>
          <w:numId w:val="2"/>
        </w:numPr>
        <w:spacing w:after="40" w:before="40"/>
      </w:pPr>
      <w:r>
        <w:rPr>
          <w:rFonts w:ascii="Arial" w:cs="Arial" w:eastAsia="Arial" w:hAnsi="Arial"/>
          <w:sz w:val="21"/>
          <w:szCs w:val="21"/>
        </w:rPr>
        <w:t xml:space="preserve">Assigned (Call) or Sell — shares called away or sold outright.</w:t>
      </w:r>
    </w:p>
    <w:p>
      <w:pPr>
        <w:pStyle w:val="ListParagraph"/>
        <w:numPr>
          <w:ilvl w:val="0"/>
          <w:numId w:val="2"/>
        </w:numPr>
        <w:spacing w:after="40" w:before="40"/>
      </w:pPr>
      <w:r>
        <w:rPr>
          <w:rFonts w:ascii="Arial" w:cs="Arial" w:eastAsia="Arial" w:hAnsi="Arial"/>
          <w:sz w:val="21"/>
          <w:szCs w:val="21"/>
        </w:rPr>
        <w:t xml:space="preserve">END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2C3E50" w:val="clear"/>
            <w:tcMar>
              <w:top w:type="dxa" w:w="50"/>
              <w:left w:type="dxa" w:w="200"/>
              <w:bottom w:type="dxa" w:w="50"/>
              <w:right w:type="dxa" w:w="120"/>
            </w:tcMar>
          </w:tcPr>
          <w:p>
            <w:r>
              <w:rPr>
                <w:rFonts w:ascii="Courier New" w:cs="Courier New" w:eastAsia="Courier New" w:hAnsi="Courier New"/>
                <w:color w:val="FFFFFF"/>
                <w:sz w:val="17"/>
                <w:szCs w:val="17"/>
              </w:rPr>
              <w:t xml:space="preserve">02/01/2026,Buy,AAPL,APPLE INC,200,221.45,0,-44290.00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02/10/2026,Sell to Open,AAPL 03/21/2026 225.00 C,APPLE INC CC,2,3.80,1.30,-760.00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03/21/2026,Buy to Close,AAPL 03/21/2026 225.00 C,APPLE INC CC Closed,2,1.20,1.30,240.00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03/25/2026,Sell to Open,AAPL 04/17/2026 228.00 C,APPLE INC CC,2,4.20,1.30,-840.00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04/17/2026,Assigned,AAPL 04/17/2026 228.00 C,APPLE INC Called Away,2,0,0,0.00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bl>
    <w:p>
      <w:pPr>
        <w:spacing w:before="200"/>
      </w:pPr>
    </w:p>
    <w:p>
      <w:pPr>
        <w:pStyle w:val="Heading2"/>
        <w:spacing w:after="100" w:before="240"/>
      </w:pPr>
      <w:r>
        <w:rPr>
          <w:rFonts w:ascii="Arial" w:cs="Arial" w:eastAsia="Arial" w:hAnsi="Arial"/>
          <w:b/>
          <w:bCs/>
          <w:color w:val="0D6E6E"/>
          <w:sz w:val="28"/>
          <w:szCs w:val="28"/>
        </w:rPr>
        <w:t xml:space="preserve">4.4  Long Call or Long Put (Directional Bet)</w:t>
      </w:r>
    </w:p>
    <w:p>
      <w:pPr>
        <w:spacing w:after="80" w:before="60"/>
      </w:pPr>
      <w:r>
        <w:rPr>
          <w:rFonts w:ascii="Arial" w:cs="Arial" w:eastAsia="Arial" w:hAnsi="Arial"/>
          <w:sz w:val="21"/>
          <w:szCs w:val="21"/>
        </w:rPr>
        <w:t xml:space="preserve">Long Calls and Long Puts used as directional bets — no linked stock position — are included between END markers like any other strategy. The parser imports them as standalone trades. No lot is created or linked.</w:t>
      </w:r>
    </w:p>
    <w:p>
      <w:pPr>
        <w:pStyle w:val="ListParagraph"/>
        <w:numPr>
          <w:ilvl w:val="0"/>
          <w:numId w:val="2"/>
        </w:numPr>
        <w:spacing w:after="40" w:before="40"/>
      </w:pPr>
      <w:r>
        <w:rPr>
          <w:rFonts w:ascii="Arial" w:cs="Arial" w:eastAsia="Arial" w:hAnsi="Arial"/>
          <w:sz w:val="21"/>
          <w:szCs w:val="21"/>
        </w:rPr>
        <w:t xml:space="preserve">Buy to Open — long option entry.</w:t>
      </w:r>
    </w:p>
    <w:p>
      <w:pPr>
        <w:pStyle w:val="ListParagraph"/>
        <w:numPr>
          <w:ilvl w:val="0"/>
          <w:numId w:val="2"/>
        </w:numPr>
        <w:spacing w:after="40" w:before="40"/>
      </w:pPr>
      <w:r>
        <w:rPr>
          <w:rFonts w:ascii="Arial" w:cs="Arial" w:eastAsia="Arial" w:hAnsi="Arial"/>
          <w:sz w:val="21"/>
          <w:szCs w:val="21"/>
        </w:rPr>
        <w:t xml:space="preserve">Sell to Close (profit/loss) OR Expired (worthless) OR Exercise (see note below).</w:t>
      </w:r>
    </w:p>
    <w:p>
      <w:pPr>
        <w:pStyle w:val="ListParagraph"/>
        <w:numPr>
          <w:ilvl w:val="0"/>
          <w:numId w:val="2"/>
        </w:numPr>
        <w:spacing w:after="40" w:before="40"/>
      </w:pPr>
      <w:r>
        <w:rPr>
          <w:rFonts w:ascii="Arial" w:cs="Arial" w:eastAsia="Arial" w:hAnsi="Arial"/>
          <w:sz w:val="21"/>
          <w:szCs w:val="21"/>
        </w:rPr>
        <w:t xml:space="preserve">END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2C3E50" w:val="clear"/>
            <w:tcMar>
              <w:top w:type="dxa" w:w="50"/>
              <w:left w:type="dxa" w:w="200"/>
              <w:bottom w:type="dxa" w:w="50"/>
              <w:right w:type="dxa" w:w="120"/>
            </w:tcMar>
          </w:tcPr>
          <w:p>
            <w:r>
              <w:rPr>
                <w:rFonts w:ascii="Courier New" w:cs="Courier New" w:eastAsia="Courier New" w:hAnsi="Courier New"/>
                <w:color w:val="FFFFFF"/>
                <w:sz w:val="17"/>
                <w:szCs w:val="17"/>
              </w:rPr>
              <w:t xml:space="preserve">03/10/2026,Buy to Open,META 04/17/2026 680.00 C,META Long Call,1,12.30,0.65,-1230.00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04/04/2026,Sell to Close,META 04/17/2026 680.00 C,META Long Call Closed,1,6.80,0.65,680.00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30A" w:sz="12"/>
              <w:left w:val="single" w:color="B7730A" w:sz="24"/>
              <w:bottom w:val="single" w:color="B7730A" w:sz="6"/>
              <w:right w:val="single" w:color="B7730A" w:sz="6"/>
            </w:tcBorders>
            <w:shd w:fill="FEF3CD" w:val="clear"/>
            <w:tcMar>
              <w:top w:type="dxa" w:w="100"/>
              <w:left w:type="dxa" w:w="130"/>
              <w:bottom w:type="dxa" w:w="100"/>
              <w:right w:type="dxa" w:w="100"/>
            </w:tcMar>
          </w:tcPr>
          <w:p>
            <w:r>
              <w:rPr>
                <w:rFonts w:ascii="Arial" w:cs="Arial" w:eastAsia="Arial" w:hAnsi="Arial"/>
                <w:b/>
                <w:bCs/>
                <w:color w:val="92600A"/>
                <w:sz w:val="20"/>
                <w:szCs w:val="20"/>
              </w:rPr>
              <w:t xml:space="preserve">⚠  Exercise rows on Long Calls / Long Puts:  </w:t>
            </w:r>
            <w:r>
              <w:rPr>
                <w:rFonts w:ascii="Arial" w:cs="Arial" w:eastAsia="Arial" w:hAnsi="Arial"/>
                <w:color w:val="1A1A1A"/>
                <w:sz w:val="20"/>
                <w:szCs w:val="20"/>
              </w:rPr>
              <w:t xml:space="preserve">Exercise events cannot be fully automated yet. If you exercised a Long Call (bought shares) or Long Put (sold shares), import the Buy to Open row and then handle the exercise manually in the app after import using the available lot and trade tools.</w:t>
            </w:r>
          </w:p>
        </w:tc>
      </w:tr>
    </w:tbl>
    <w:p>
      <w:pPr>
        <w:spacing w:before="300"/>
      </w:pPr>
    </w:p>
    <w:p>
      <w:r>
        <w:br w:type="page"/>
      </w:r>
    </w:p>
    <w:p>
      <w:pPr>
        <w:pStyle w:val="Heading1"/>
        <w:pBdr>
          <w:bottom w:val="single" w:color="0D6E6E" w:sz="8" w:space="4"/>
        </w:pBdr>
        <w:spacing w:after="160" w:before="300"/>
      </w:pPr>
      <w:r>
        <w:rPr>
          <w:rFonts w:ascii="Arial" w:cs="Arial" w:eastAsia="Arial" w:hAnsi="Arial"/>
          <w:b/>
          <w:bCs/>
          <w:color w:val="1B2A4A"/>
          <w:sz w:val="36"/>
          <w:szCs w:val="36"/>
        </w:rPr>
        <w:t xml:space="preserve">5  Downloading Your History from Schwab</w:t>
      </w:r>
    </w:p>
    <w:p>
      <w:pPr>
        <w:pStyle w:val="ListParagraph"/>
        <w:numPr>
          <w:ilvl w:val="0"/>
          <w:numId w:val="2"/>
        </w:numPr>
        <w:spacing w:after="40" w:before="40"/>
      </w:pPr>
      <w:r>
        <w:rPr>
          <w:rFonts w:ascii="Arial" w:cs="Arial" w:eastAsia="Arial" w:hAnsi="Arial"/>
          <w:sz w:val="21"/>
          <w:szCs w:val="21"/>
        </w:rPr>
        <w:t xml:space="preserve">Log in to schwab.com → Accounts → History.</w:t>
      </w:r>
    </w:p>
    <w:p>
      <w:pPr>
        <w:pStyle w:val="ListParagraph"/>
        <w:numPr>
          <w:ilvl w:val="0"/>
          <w:numId w:val="2"/>
        </w:numPr>
        <w:spacing w:after="40" w:before="40"/>
      </w:pPr>
      <w:r>
        <w:rPr>
          <w:rFonts w:ascii="Arial" w:cs="Arial" w:eastAsia="Arial" w:hAnsi="Arial"/>
          <w:sz w:val="21"/>
          <w:szCs w:val="21"/>
        </w:rPr>
        <w:t xml:space="preserve">Select the account you want to migrate.</w:t>
      </w:r>
    </w:p>
    <w:p>
      <w:pPr>
        <w:pStyle w:val="ListParagraph"/>
        <w:numPr>
          <w:ilvl w:val="0"/>
          <w:numId w:val="2"/>
        </w:numPr>
        <w:spacing w:after="40" w:before="40"/>
      </w:pPr>
      <w:r>
        <w:rPr>
          <w:rFonts w:ascii="Arial" w:cs="Arial" w:eastAsia="Arial" w:hAnsi="Arial"/>
          <w:sz w:val="21"/>
          <w:szCs w:val="21"/>
        </w:rPr>
        <w:t xml:space="preserve">Set the date range to your full history — use the maximum available range. Open–close pairing only works when both rows are in the same file.</w:t>
      </w:r>
    </w:p>
    <w:p>
      <w:pPr>
        <w:pStyle w:val="ListParagraph"/>
        <w:numPr>
          <w:ilvl w:val="0"/>
          <w:numId w:val="2"/>
        </w:numPr>
        <w:spacing w:after="40" w:before="40"/>
      </w:pPr>
      <w:r>
        <w:rPr>
          <w:rFonts w:ascii="Arial" w:cs="Arial" w:eastAsia="Arial" w:hAnsi="Arial"/>
          <w:sz w:val="21"/>
          <w:szCs w:val="21"/>
        </w:rPr>
        <w:t xml:space="preserve">Click Export → CSV.</w:t>
      </w:r>
    </w:p>
    <w:p>
      <w:pPr>
        <w:spacing w:after="80" w:before="60"/>
      </w:pPr>
      <w:r>
        <w:rPr>
          <w:rFonts w:ascii="Arial" w:cs="Arial" w:eastAsia="Arial" w:hAnsi="Arial"/>
          <w:sz w:val="21"/>
          <w:szCs w:val="21"/>
        </w:rPr>
        <w:t xml:space="preserve">Note: Schwab limits each export to 1,500 rows. If you have a large history, export in chunks (e.g. by year) and combine the files before rearranging.</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12"/>
              <w:left w:val="single" w:color="0D6E6E" w:sz="24"/>
              <w:bottom w:val="single" w:color="0D6E6E" w:sz="6"/>
              <w:right w:val="single" w:color="0D6E6E" w:sz="6"/>
            </w:tcBorders>
            <w:shd w:fill="EAF4F4" w:val="clear"/>
            <w:tcMar>
              <w:top w:type="dxa" w:w="100"/>
              <w:left w:type="dxa" w:w="130"/>
              <w:bottom w:type="dxa" w:w="100"/>
              <w:right w:type="dxa" w:w="100"/>
            </w:tcMar>
          </w:tcPr>
          <w:p>
            <w:r>
              <w:rPr>
                <w:rFonts w:ascii="Arial" w:cs="Arial" w:eastAsia="Arial" w:hAnsi="Arial"/>
                <w:b/>
                <w:bCs/>
                <w:color w:val="0D6E6E"/>
                <w:sz w:val="20"/>
                <w:szCs w:val="20"/>
              </w:rPr>
              <w:t xml:space="preserve">💡  Tip — sort by date ascending before rearranging:  </w:t>
            </w:r>
            <w:r>
              <w:rPr>
                <w:rFonts w:ascii="Arial" w:cs="Arial" w:eastAsia="Arial" w:hAnsi="Arial"/>
                <w:color w:val="1A1A1A"/>
                <w:sz w:val="20"/>
                <w:szCs w:val="20"/>
              </w:rPr>
              <w:t xml:space="preserve">In Excel or Google Sheets, sort your export by the Date column oldest-to-newest before you start grouping by ticker. This makes it much easier to find all the rows for each position.</w:t>
            </w:r>
          </w:p>
        </w:tc>
      </w:tr>
    </w:tbl>
    <w:p>
      <w:pPr>
        <w:spacing w:before="300"/>
      </w:pPr>
    </w:p>
    <w:p>
      <w:r>
        <w:br w:type="page"/>
      </w:r>
    </w:p>
    <w:p>
      <w:pPr>
        <w:pStyle w:val="Heading1"/>
        <w:pBdr>
          <w:bottom w:val="single" w:color="0D6E6E" w:sz="8" w:space="4"/>
        </w:pBdr>
        <w:spacing w:after="160" w:before="300"/>
      </w:pPr>
      <w:r>
        <w:rPr>
          <w:rFonts w:ascii="Arial" w:cs="Arial" w:eastAsia="Arial" w:hAnsi="Arial"/>
          <w:b/>
          <w:bCs/>
          <w:color w:val="1B2A4A"/>
          <w:sz w:val="36"/>
          <w:szCs w:val="36"/>
        </w:rPr>
        <w:t xml:space="preserve">6  Rearranging the File — Step by Step</w:t>
      </w:r>
    </w:p>
    <w:p>
      <w:pPr>
        <w:spacing w:after="80" w:before="60"/>
      </w:pPr>
      <w:r>
        <w:rPr>
          <w:rFonts w:ascii="Arial" w:cs="Arial" w:eastAsia="Arial" w:hAnsi="Arial"/>
          <w:sz w:val="21"/>
          <w:szCs w:val="21"/>
        </w:rPr>
        <w:t xml:space="preserve">Open your downloaded CSV in Excel or Google Sheets. You will be grouping rows by ticker and adding END markers. The header row stays at the top — do not repeat it.</w:t>
      </w:r>
    </w:p>
    <w:p>
      <w:pPr>
        <w:spacing w:before="120"/>
      </w:pPr>
    </w:p>
    <w:p>
      <w:pPr>
        <w:pStyle w:val="Heading2"/>
        <w:spacing w:after="100" w:before="240"/>
      </w:pPr>
      <w:r>
        <w:rPr>
          <w:rFonts w:ascii="Arial" w:cs="Arial" w:eastAsia="Arial" w:hAnsi="Arial"/>
          <w:b/>
          <w:bCs/>
          <w:color w:val="0D6E6E"/>
          <w:sz w:val="28"/>
          <w:szCs w:val="28"/>
        </w:rPr>
        <w:t xml:space="preserve">6.1  Group by ticker</w:t>
      </w:r>
    </w:p>
    <w:p>
      <w:pPr>
        <w:pStyle w:val="ListParagraph"/>
        <w:numPr>
          <w:ilvl w:val="0"/>
          <w:numId w:val="3"/>
        </w:numPr>
        <w:spacing w:after="40" w:before="40"/>
      </w:pPr>
      <w:r>
        <w:rPr>
          <w:rFonts w:ascii="Arial" w:cs="Arial" w:eastAsia="Arial" w:hAnsi="Arial"/>
          <w:sz w:val="21"/>
          <w:szCs w:val="21"/>
        </w:rPr>
        <w:t xml:space="preserve">Find all rows for your first ticker (e.g. all AAPL rows).</w:t>
      </w:r>
    </w:p>
    <w:p>
      <w:pPr>
        <w:pStyle w:val="ListParagraph"/>
        <w:numPr>
          <w:ilvl w:val="0"/>
          <w:numId w:val="3"/>
        </w:numPr>
        <w:spacing w:after="40" w:before="40"/>
      </w:pPr>
      <w:r>
        <w:rPr>
          <w:rFonts w:ascii="Arial" w:cs="Arial" w:eastAsia="Arial" w:hAnsi="Arial"/>
          <w:sz w:val="21"/>
          <w:szCs w:val="21"/>
        </w:rPr>
        <w:t xml:space="preserve">Move them together so they are consecutive.</w:t>
      </w:r>
    </w:p>
    <w:p>
      <w:pPr>
        <w:pStyle w:val="ListParagraph"/>
        <w:numPr>
          <w:ilvl w:val="0"/>
          <w:numId w:val="3"/>
        </w:numPr>
        <w:spacing w:after="40" w:before="40"/>
      </w:pPr>
      <w:r>
        <w:rPr>
          <w:rFonts w:ascii="Arial" w:cs="Arial" w:eastAsia="Arial" w:hAnsi="Arial"/>
          <w:sz w:val="21"/>
          <w:szCs w:val="21"/>
        </w:rPr>
        <w:t xml:space="preserve">Within the ticker group, arrange rows in wheel sequence: CSP entry → close/assign → CC entries → close/called away.</w:t>
      </w:r>
    </w:p>
    <w:p>
      <w:pPr>
        <w:pStyle w:val="ListParagraph"/>
        <w:numPr>
          <w:ilvl w:val="0"/>
          <w:numId w:val="3"/>
        </w:numPr>
        <w:spacing w:after="40" w:before="40"/>
      </w:pPr>
      <w:r>
        <w:rPr>
          <w:rFonts w:ascii="Arial" w:cs="Arial" w:eastAsia="Arial" w:hAnsi="Arial"/>
          <w:sz w:val="21"/>
          <w:szCs w:val="21"/>
        </w:rPr>
        <w:t xml:space="preserve">Add an END row after the last entry for that lot.</w:t>
      </w:r>
    </w:p>
    <w:p>
      <w:pPr>
        <w:pStyle w:val="ListParagraph"/>
        <w:numPr>
          <w:ilvl w:val="0"/>
          <w:numId w:val="3"/>
        </w:numPr>
        <w:spacing w:after="40" w:before="40"/>
      </w:pPr>
      <w:r>
        <w:rPr>
          <w:rFonts w:ascii="Arial" w:cs="Arial" w:eastAsia="Arial" w:hAnsi="Arial"/>
          <w:sz w:val="21"/>
          <w:szCs w:val="21"/>
        </w:rPr>
        <w:t xml:space="preserve">If you ran multiple wheel cycles on the same ticker, each cycle gets its own END marker.</w:t>
      </w:r>
    </w:p>
    <w:p>
      <w:pPr>
        <w:pStyle w:val="ListParagraph"/>
        <w:numPr>
          <w:ilvl w:val="0"/>
          <w:numId w:val="3"/>
        </w:numPr>
        <w:spacing w:after="40" w:before="40"/>
      </w:pPr>
      <w:r>
        <w:rPr>
          <w:rFonts w:ascii="Arial" w:cs="Arial" w:eastAsia="Arial" w:hAnsi="Arial"/>
          <w:sz w:val="21"/>
          <w:szCs w:val="21"/>
        </w:rPr>
        <w:t xml:space="preserve">Repeat for every ticker.</w:t>
      </w:r>
    </w:p>
    <w:p>
      <w:pPr>
        <w:spacing w:before="160"/>
      </w:pPr>
    </w:p>
    <w:p>
      <w:pPr>
        <w:pStyle w:val="Heading2"/>
        <w:spacing w:after="100" w:before="240"/>
      </w:pPr>
      <w:r>
        <w:rPr>
          <w:rFonts w:ascii="Arial" w:cs="Arial" w:eastAsia="Arial" w:hAnsi="Arial"/>
          <w:b/>
          <w:bCs/>
          <w:color w:val="0D6E6E"/>
          <w:sz w:val="28"/>
          <w:szCs w:val="28"/>
        </w:rPr>
        <w:t xml:space="preserve">6.2  Rows to keep</w:t>
      </w:r>
    </w:p>
    <w:p>
      <w:pPr>
        <w:spacing w:after="80" w:before="60"/>
      </w:pPr>
      <w:r>
        <w:rPr>
          <w:rFonts w:ascii="Arial" w:cs="Arial" w:eastAsia="Arial" w:hAnsi="Arial"/>
          <w:sz w:val="21"/>
          <w:szCs w:val="21"/>
        </w:rPr>
        <w:t xml:space="preserve">Keep only the rows that match the strategies in Section 2. All other rows — dividends, interest, wire transfers, stock splits, fees — are silently ignored by the parser and do not need to be deleted. You can leave them in the file.</w:t>
      </w:r>
    </w:p>
    <w:p>
      <w:pPr>
        <w:spacing w:before="160"/>
      </w:pPr>
    </w:p>
    <w:p>
      <w:pPr>
        <w:pStyle w:val="Heading2"/>
        <w:spacing w:after="100" w:before="240"/>
      </w:pPr>
      <w:r>
        <w:rPr>
          <w:rFonts w:ascii="Arial" w:cs="Arial" w:eastAsia="Arial" w:hAnsi="Arial"/>
          <w:b/>
          <w:bCs/>
          <w:color w:val="0D6E6E"/>
          <w:sz w:val="28"/>
          <w:szCs w:val="28"/>
        </w:rPr>
        <w:t xml:space="preserve">6.3  Rows to handle manually after import</w:t>
      </w:r>
    </w:p>
    <w:p>
      <w:pPr>
        <w:pStyle w:val="ListParagraph"/>
        <w:numPr>
          <w:ilvl w:val="0"/>
          <w:numId w:val="3"/>
        </w:numPr>
        <w:spacing w:after="40" w:before="40"/>
      </w:pPr>
      <w:r>
        <w:rPr>
          <w:rFonts w:ascii="Arial" w:cs="Arial" w:eastAsia="Arial" w:hAnsi="Arial"/>
          <w:sz w:val="21"/>
          <w:szCs w:val="21"/>
        </w:rPr>
        <w:t xml:space="preserve">Spreads, Iron Condors, Butterflies, Calendars, Diagonals — delete imported legs and re-enter manually.</w:t>
      </w:r>
    </w:p>
    <w:p>
      <w:pPr>
        <w:pStyle w:val="ListParagraph"/>
        <w:numPr>
          <w:ilvl w:val="0"/>
          <w:numId w:val="3"/>
        </w:numPr>
        <w:spacing w:after="40" w:before="40"/>
      </w:pPr>
      <w:r>
        <w:rPr>
          <w:rFonts w:ascii="Arial" w:cs="Arial" w:eastAsia="Arial" w:hAnsi="Arial"/>
          <w:sz w:val="21"/>
          <w:szCs w:val="21"/>
        </w:rPr>
        <w:t xml:space="preserve">Exercise events on Long Calls or Long Puts — handle in app after import.</w:t>
      </w:r>
    </w:p>
    <w:p>
      <w:pPr>
        <w:pStyle w:val="ListParagraph"/>
        <w:numPr>
          <w:ilvl w:val="0"/>
          <w:numId w:val="3"/>
        </w:numPr>
        <w:spacing w:after="40" w:before="40"/>
      </w:pPr>
      <w:r>
        <w:rPr>
          <w:rFonts w:ascii="Arial" w:cs="Arial" w:eastAsia="Arial" w:hAnsi="Arial"/>
          <w:sz w:val="21"/>
          <w:szCs w:val="21"/>
        </w:rPr>
        <w:t xml:space="preserve">Any position you want to exclude from MyOptionDiary entirely — delete from the CSV before uploading.</w:t>
      </w:r>
    </w:p>
    <w:p>
      <w:pPr>
        <w:spacing w:before="300"/>
      </w:pPr>
    </w:p>
    <w:p>
      <w:r>
        <w:br w:type="page"/>
      </w:r>
    </w:p>
    <w:p>
      <w:pPr>
        <w:pStyle w:val="Heading1"/>
        <w:pBdr>
          <w:bottom w:val="single" w:color="0D6E6E" w:sz="8" w:space="4"/>
        </w:pBdr>
        <w:spacing w:after="160" w:before="300"/>
      </w:pPr>
      <w:r>
        <w:rPr>
          <w:rFonts w:ascii="Arial" w:cs="Arial" w:eastAsia="Arial" w:hAnsi="Arial"/>
          <w:b/>
          <w:bCs/>
          <w:color w:val="1B2A4A"/>
          <w:sz w:val="36"/>
          <w:szCs w:val="36"/>
        </w:rPr>
        <w:t xml:space="preserve">7  Complete Example — Annotated</w:t>
      </w:r>
    </w:p>
    <w:p>
      <w:pPr>
        <w:spacing w:after="80" w:before="60"/>
      </w:pPr>
      <w:r>
        <w:rPr>
          <w:rFonts w:ascii="Arial" w:cs="Arial" w:eastAsia="Arial" w:hAnsi="Arial"/>
          <w:sz w:val="21"/>
          <w:szCs w:val="21"/>
        </w:rPr>
        <w:t xml:space="preserve">Below is a complete example of a properly arranged Schwab CSV covering multiple tickers and strategies. Comments in brackets are for illustration only — do not include them in your actual file.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2C3E50" w:val="clear"/>
            <w:tcMar>
              <w:top w:type="dxa" w:w="50"/>
              <w:left w:type="dxa" w:w="200"/>
              <w:bottom w:type="dxa" w:w="50"/>
              <w:right w:type="dxa" w:w="120"/>
            </w:tcMar>
          </w:tcPr>
          <w:p>
            <w:r>
              <w:rPr>
                <w:rFonts w:ascii="Courier New" w:cs="Courier New" w:eastAsia="Courier New" w:hAnsi="Courier New"/>
                <w:color w:val="FFFFFF"/>
                <w:sz w:val="17"/>
                <w:szCs w:val="17"/>
              </w:rPr>
              <w:t xml:space="preserve">Date,Action,Symbol,Description,Quantity,Price,Fees &amp; Comm,Amount</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 ── AAPL Wheel: CSP → Assigned → 2 CCs → Called Away ──────────────</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01/06/2026,Sell to Open,AAPL 01/30/2026 220.00 P,CSP entry,2,3.45,1.30,-690.00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01/30/2026,Assigned,AAPL 01/30/2026 220.00 P,Assigned — lot auto-created at $220,2,0,0,0.00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02/10/2026,Sell to Open,AAPL 03/21/2026 215.00 C,CC 1 — expired worthless,2,3.80,1.30,-760.00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03/21/2026,Expired,AAPL 03/21/2026 215.00 C,CC 1 expired,2,0,0,0.00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02/23/2026,Sell to Open,AAPL 03/21/2026 220.00 C,CC 2 — called away,2,5.10,1.30,-1020.00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03/21/2026,Assigned,AAPL 03/21/2026 220.00 C,Called away at $220,2,0,0,0.00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 ── NVDA CSP: expired worthless ──────────────────────────────────────</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02/03/2026,Sell to Open,NVDA 02/27/2026 125.00 P,CSP entry,2,3.60,1.30,-720.00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02/27/2026,Expired,NVDA 02/27/2026 125.00 P,Expired worthless,2,0,0,0.00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 ── MSFT CSP: closed early at 50% profit ──────────────────────────────</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03/02/2026,Sell to Open,MSFT 03/21/2026 395.00 P,CSP entry,1,4.50,0.65,-450.00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03/10/2026,Buy to Close,MSFT 03/21/2026 395.00 P,Closed at 50%,1,2.25,0.65,225.00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 ── META Long Call: directional bet, closed for loss ─────────────────</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03/10/2026,Buy to Open,META 04/17/2026 680.00 C,Long Call — directional,1,12.30,0.65,-1230.00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04/04/2026,Sell to Close,META 04/17/2026 680.00 C,Closed for loss,1,6.80,0.65,680.00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 ── TSLA CSP: assigned — outright buy + wheel continues ──────────────</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02/03/2026,Sell to Open,TSLA 02/27/2026 310.00 P,CSP entry,1,8.90,0.65,-890.00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02/27/2026,Buy to Close,TSLA 02/27/2026 310.00 P,Closed at a loss,1,15.40,0.65,1540.00</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bl>
    <w:p>
      <w:pPr>
        <w:spacing w:before="300"/>
      </w:pPr>
    </w:p>
    <w:p>
      <w:r>
        <w:br w:type="page"/>
      </w:r>
    </w:p>
    <w:p>
      <w:pPr>
        <w:pStyle w:val="Heading1"/>
        <w:pBdr>
          <w:bottom w:val="single" w:color="0D6E6E" w:sz="8" w:space="4"/>
        </w:pBdr>
        <w:spacing w:after="160" w:before="300"/>
      </w:pPr>
      <w:r>
        <w:rPr>
          <w:rFonts w:ascii="Arial" w:cs="Arial" w:eastAsia="Arial" w:hAnsi="Arial"/>
          <w:b/>
          <w:bCs/>
          <w:color w:val="1B2A4A"/>
          <w:sz w:val="36"/>
          <w:szCs w:val="36"/>
        </w:rPr>
        <w:t xml:space="preserve">8  After the Import — What to Do Next</w:t>
      </w:r>
    </w:p>
    <w:p>
      <w:pPr>
        <w:spacing w:after="80" w:before="60"/>
      </w:pPr>
      <w:r>
        <w:rPr>
          <w:rFonts w:ascii="Arial" w:cs="Arial" w:eastAsia="Arial" w:hAnsi="Arial"/>
          <w:sz w:val="21"/>
          <w:szCs w:val="21"/>
        </w:rPr>
        <w:t xml:space="preserve">After the CSV import completes, work through the Post-Import Checklist in Part 8 of the MyOptionDiary QuickStart guide. The most important steps are:</w:t>
      </w:r>
    </w:p>
    <w:p>
      <w:pPr>
        <w:spacing w:before="80"/>
      </w:pPr>
    </w:p>
    <w:p>
      <w:pPr>
        <w:pStyle w:val="ListParagraph"/>
        <w:numPr>
          <w:ilvl w:val="0"/>
          <w:numId w:val="2"/>
        </w:numPr>
        <w:spacing w:after="40" w:before="40"/>
      </w:pPr>
      <w:r>
        <w:rPr>
          <w:rFonts w:ascii="Arial" w:cs="Arial" w:eastAsia="Arial" w:hAnsi="Arial"/>
          <w:sz w:val="21"/>
          <w:szCs w:val="21"/>
        </w:rPr>
        <w:t xml:space="preserve">Link every Covered Call to its stock lot — Trade Log → find CC → Edit → Linked Stock Lot.</w:t>
      </w:r>
    </w:p>
    <w:p>
      <w:pPr>
        <w:pStyle w:val="ListParagraph"/>
        <w:numPr>
          <w:ilvl w:val="0"/>
          <w:numId w:val="2"/>
        </w:numPr>
        <w:spacing w:after="40" w:before="40"/>
      </w:pPr>
      <w:r>
        <w:rPr>
          <w:rFonts w:ascii="Arial" w:cs="Arial" w:eastAsia="Arial" w:hAnsi="Arial"/>
          <w:sz w:val="21"/>
          <w:szCs w:val="21"/>
        </w:rPr>
        <w:t xml:space="preserve">Check Assigned rows — the parser will flag these in the Action Required panel. Verify each one is correctly recorded as either an Assignment (CSP) or Called Away (CC).</w:t>
      </w:r>
    </w:p>
    <w:p>
      <w:pPr>
        <w:pStyle w:val="ListParagraph"/>
        <w:numPr>
          <w:ilvl w:val="0"/>
          <w:numId w:val="2"/>
        </w:numPr>
        <w:spacing w:after="40" w:before="40"/>
      </w:pPr>
      <w:r>
        <w:rPr>
          <w:rFonts w:ascii="Arial" w:cs="Arial" w:eastAsia="Arial" w:hAnsi="Arial"/>
          <w:sz w:val="21"/>
          <w:szCs w:val="21"/>
        </w:rPr>
        <w:t xml:space="preserve">Delete and re-enter any multi-leg strategies — Spreads, ICs, Butterflies, Calendars.</w:t>
      </w:r>
    </w:p>
    <w:p>
      <w:pPr>
        <w:pStyle w:val="ListParagraph"/>
        <w:numPr>
          <w:ilvl w:val="0"/>
          <w:numId w:val="2"/>
        </w:numPr>
        <w:spacing w:after="40" w:before="40"/>
      </w:pPr>
      <w:r>
        <w:rPr>
          <w:rFonts w:ascii="Arial" w:cs="Arial" w:eastAsia="Arial" w:hAnsi="Arial"/>
          <w:sz w:val="21"/>
          <w:szCs w:val="21"/>
        </w:rPr>
        <w:t xml:space="preserve">Enter IV at Entry for all open positions — Trade Log → Edit → IV at Entry field.</w:t>
      </w:r>
    </w:p>
    <w:p>
      <w:pPr>
        <w:pStyle w:val="ListParagraph"/>
        <w:numPr>
          <w:ilvl w:val="0"/>
          <w:numId w:val="2"/>
        </w:numPr>
        <w:spacing w:after="40" w:before="40"/>
      </w:pPr>
      <w:r>
        <w:rPr>
          <w:rFonts w:ascii="Arial" w:cs="Arial" w:eastAsia="Arial" w:hAnsi="Arial"/>
          <w:sz w:val="21"/>
          <w:szCs w:val="21"/>
        </w:rPr>
        <w:t xml:space="preserve">Verify trade count against your Schwab statement.</w:t>
      </w:r>
    </w:p>
    <w:p>
      <w:pPr>
        <w:pStyle w:val="ListParagraph"/>
        <w:numPr>
          <w:ilvl w:val="0"/>
          <w:numId w:val="2"/>
        </w:numPr>
        <w:spacing w:after="40" w:before="40"/>
      </w:pPr>
      <w:r>
        <w:rPr>
          <w:rFonts w:ascii="Arial" w:cs="Arial" w:eastAsia="Arial" w:hAnsi="Arial"/>
          <w:sz w:val="21"/>
          <w:szCs w:val="21"/>
        </w:rPr>
        <w:t xml:space="preserve">Check Analytics — Gross Premium and Realised P&amp;L should reflect your full history.</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2"/>
              <w:left w:val="single" w:color="2E7D32" w:sz="24"/>
              <w:bottom w:val="single" w:color="2E7D32" w:sz="6"/>
              <w:right w:val="single" w:color="2E7D32" w:sz="6"/>
            </w:tcBorders>
            <w:shd w:fill="E8F5E9" w:val="clear"/>
            <w:tcMar>
              <w:top w:type="dxa" w:w="100"/>
              <w:left w:type="dxa" w:w="130"/>
              <w:bottom w:type="dxa" w:w="100"/>
              <w:right w:type="dxa" w:w="100"/>
            </w:tcMar>
          </w:tcPr>
          <w:p>
            <w:r>
              <w:rPr>
                <w:rFonts w:ascii="Arial" w:cs="Arial" w:eastAsia="Arial" w:hAnsi="Arial"/>
                <w:b/>
                <w:bCs/>
                <w:color w:val="1B5E20"/>
                <w:sz w:val="20"/>
                <w:szCs w:val="20"/>
              </w:rPr>
              <w:t xml:space="preserve">✓  You are done.  </w:t>
            </w:r>
            <w:r>
              <w:rPr>
                <w:rFonts w:ascii="Arial" w:cs="Arial" w:eastAsia="Arial" w:hAnsi="Arial"/>
                <w:color w:val="1A1A1A"/>
                <w:sz w:val="20"/>
                <w:szCs w:val="20"/>
              </w:rPr>
              <w:t xml:space="preserve">From this point forward, log all new trades directly in MyOptionDiary. Do not import CSV files again. The app is your primary record from here.</w:t>
            </w:r>
          </w:p>
        </w:tc>
      </w:tr>
    </w:tbl>
    <w:p>
      <w:pPr>
        <w:spacing w:before="200"/>
      </w:pPr>
    </w:p>
    <w:p>
      <w:pPr>
        <w:pBdr>
          <w:top w:val="single" w:color="CCCCCC" w:sz="4" w:space="4"/>
        </w:pBdr>
        <w:spacing w:before="200"/>
      </w:pPr>
      <w:r>
        <w:rPr>
          <w:rFonts w:ascii="Arial" w:cs="Arial" w:eastAsia="Arial" w:hAnsi="Arial"/>
          <w:i/>
          <w:iCs/>
          <w:color w:val="5D6D7E"/>
          <w:sz w:val="17"/>
          <w:szCs w:val="17"/>
        </w:rPr>
        <w:t xml:space="preserve">MyOptionDiary — Schwab CSV Migration Guide — For support or questions, use the feedback button inside the app.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080" w:hanging="360"/>
      </w:pPr>
    </w:lvl>
  </w:abstractNum>
  <w:abstractNum w:abstractNumId="3"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0D6E6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2026-04-08T04:20:20.499Z</dcterms:created>
  <dcterms:modified xsi:type="dcterms:W3CDTF">2026-04-08T04:20:20.500Z</dcterms:modified>
</cp:coreProperties>
</file>

<file path=docProps/custom.xml><?xml version="1.0" encoding="utf-8"?>
<Properties xmlns="http://schemas.openxmlformats.org/officeDocument/2006/custom-properties" xmlns:vt="http://schemas.openxmlformats.org/officeDocument/2006/docPropsVTypes"/>
</file>