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504" w:rsidRDefault="00CF1504">
      <w:pPr>
        <w:spacing w:after="200"/>
      </w:pPr>
    </w:p>
    <w:p w:rsidR="00CF1504" w:rsidRDefault="00980D0D">
      <w:pPr>
        <w:jc w:val="center"/>
      </w:pPr>
      <w:r>
        <w:rPr>
          <w:b/>
          <w:bCs/>
          <w:color w:val="1B2A4A"/>
          <w:sz w:val="40"/>
          <w:szCs w:val="40"/>
        </w:rPr>
        <w:t>VITAL SECURITY PLC</w:t>
      </w:r>
    </w:p>
    <w:p w:rsidR="003A7FDA" w:rsidRDefault="00980D0D">
      <w:pPr>
        <w:spacing w:before="60" w:after="260"/>
        <w:jc w:val="center"/>
        <w:rPr>
          <w:b/>
          <w:bCs/>
          <w:color w:val="444444"/>
          <w:sz w:val="20"/>
          <w:szCs w:val="20"/>
        </w:rPr>
      </w:pPr>
      <w:r>
        <w:rPr>
          <w:b/>
          <w:bCs/>
          <w:color w:val="444444"/>
          <w:sz w:val="20"/>
          <w:szCs w:val="20"/>
        </w:rPr>
        <w:t xml:space="preserve">INTERNAL WORKFORCE &amp; PAYROLL MANAGEMENT </w:t>
      </w:r>
      <w:proofErr w:type="gramStart"/>
      <w:r>
        <w:rPr>
          <w:b/>
          <w:bCs/>
          <w:color w:val="444444"/>
          <w:sz w:val="20"/>
          <w:szCs w:val="20"/>
        </w:rPr>
        <w:t>PLATFORM  |</w:t>
      </w:r>
      <w:proofErr w:type="gramEnd"/>
      <w:r>
        <w:rPr>
          <w:b/>
          <w:bCs/>
          <w:color w:val="444444"/>
          <w:sz w:val="20"/>
          <w:szCs w:val="20"/>
        </w:rPr>
        <w:t xml:space="preserve">  </w:t>
      </w:r>
    </w:p>
    <w:p w:rsidR="00CF1504" w:rsidRDefault="00980D0D">
      <w:pPr>
        <w:spacing w:before="60" w:after="260"/>
        <w:jc w:val="center"/>
      </w:pPr>
      <w:r>
        <w:rPr>
          <w:b/>
          <w:bCs/>
          <w:color w:val="444444"/>
          <w:sz w:val="20"/>
          <w:szCs w:val="20"/>
        </w:rPr>
        <w:t>WORKFLOW AND ROLE STRUCTURE</w:t>
      </w:r>
    </w:p>
    <w:p w:rsidR="00CF1504" w:rsidRDefault="00CF1504">
      <w:pPr>
        <w:spacing w:after="300"/>
      </w:pPr>
    </w:p>
    <w:p w:rsidR="003A7FDA" w:rsidRDefault="003A7FDA">
      <w:pPr>
        <w:spacing w:after="300"/>
      </w:pPr>
      <w:r>
        <w:t xml:space="preserve">    </w:t>
      </w:r>
    </w:p>
    <w:p w:rsidR="003A7FDA" w:rsidRDefault="003A7FDA">
      <w:pPr>
        <w:spacing w:after="300"/>
      </w:pPr>
      <w:r>
        <w:rPr>
          <w:noProof/>
        </w:rPr>
        <w:t xml:space="preserve">                                      </w:t>
      </w:r>
      <w:r>
        <w:rPr>
          <w:noProof/>
        </w:rPr>
        <w:drawing>
          <wp:inline distT="0" distB="0" distL="0" distR="0" wp14:anchorId="2F8740FE" wp14:editId="68302AD9">
            <wp:extent cx="3590925" cy="366712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1772" cy="367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7FDA" w:rsidRDefault="003A7FDA">
      <w:pPr>
        <w:spacing w:after="300"/>
      </w:pPr>
    </w:p>
    <w:p w:rsidR="003A7FDA" w:rsidRDefault="003A7FDA">
      <w:pPr>
        <w:spacing w:after="300"/>
      </w:pPr>
    </w:p>
    <w:p w:rsidR="003A7FDA" w:rsidRDefault="003A7FDA">
      <w:pPr>
        <w:spacing w:after="300"/>
      </w:pPr>
    </w:p>
    <w:p w:rsidR="00CF1504" w:rsidRDefault="00980D0D">
      <w:pPr>
        <w:spacing w:after="200"/>
      </w:pPr>
      <w:r>
        <w:rPr>
          <w:b/>
          <w:bCs/>
          <w:color w:val="1B2A4A"/>
          <w:sz w:val="34"/>
          <w:szCs w:val="34"/>
        </w:rPr>
        <w:t>WORKFLOW AND ROLE STRUCTURE</w:t>
      </w:r>
    </w:p>
    <w:p w:rsidR="00CF1504" w:rsidRDefault="00980D0D">
      <w:pPr>
        <w:spacing w:after="260"/>
      </w:pPr>
      <w:r>
        <w:rPr>
          <w:i/>
          <w:iCs/>
          <w:color w:val="444444"/>
          <w:sz w:val="22"/>
          <w:szCs w:val="22"/>
        </w:rPr>
        <w:t>End-to-End Process: Account Creation, Registration, Attendance Handover, and Payroll Approval</w:t>
      </w:r>
    </w:p>
    <w:p w:rsidR="00CF1504" w:rsidRDefault="00980D0D">
      <w:pPr>
        <w:jc w:val="center"/>
      </w:pPr>
      <w:r>
        <w:rPr>
          <w:b/>
          <w:bCs/>
          <w:color w:val="B4232C"/>
          <w:sz w:val="18"/>
          <w:szCs w:val="18"/>
        </w:rPr>
        <w:t>CONFIDENTIAL — INTERNAL USE ONLY</w:t>
      </w:r>
    </w:p>
    <w:p w:rsidR="00CF1504" w:rsidRDefault="00CF1504">
      <w:pPr>
        <w:sectPr w:rsidR="00CF1504">
          <w:pgSz w:w="12240" w:h="15840"/>
          <w:pgMar w:top="1000" w:right="1440" w:bottom="1000" w:left="1440" w:header="708" w:footer="708" w:gutter="0"/>
          <w:cols w:space="720"/>
          <w:docGrid w:linePitch="360"/>
        </w:sectPr>
      </w:pPr>
    </w:p>
    <w:p w:rsidR="00CF1504" w:rsidRDefault="00980D0D">
      <w:pPr>
        <w:pStyle w:val="Heading1"/>
        <w:spacing w:before="380" w:after="200"/>
      </w:pPr>
      <w:bookmarkStart w:id="1" w:name="_Toc238196865"/>
      <w:r>
        <w:lastRenderedPageBreak/>
        <w:t>Table of Contents</w:t>
      </w:r>
      <w:bookmarkEnd w:id="1"/>
    </w:p>
    <w:sdt>
      <w:sdtPr>
        <w:alias w:val="Table of Contents"/>
        <w:id w:val="-1430957619"/>
      </w:sdtPr>
      <w:sdtEndPr/>
      <w:sdtContent>
        <w:p w:rsidR="007F155B" w:rsidRDefault="00980D0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196865" w:history="1">
            <w:r w:rsidR="007F155B" w:rsidRPr="0031775C">
              <w:rPr>
                <w:rStyle w:val="Hyperlink"/>
                <w:noProof/>
              </w:rPr>
              <w:t>Table of Contents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_Toc238196865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2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96866" w:history="1">
            <w:r w:rsidR="007F155B" w:rsidRPr="0031775C">
              <w:rPr>
                <w:rStyle w:val="Hyperlink"/>
                <w:noProof/>
              </w:rPr>
              <w:t>1. Purpose of This Update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_Toc238196866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3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96867" w:history="1">
            <w:r w:rsidR="007F155B" w:rsidRPr="0031775C">
              <w:rPr>
                <w:rStyle w:val="Hyperlink"/>
                <w:noProof/>
              </w:rPr>
              <w:t>2. Roles and Responsibilities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_Toc238196867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3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96868" w:history="1">
            <w:r w:rsidR="007F155B" w:rsidRPr="0031775C">
              <w:rPr>
                <w:rStyle w:val="Hyperlink"/>
                <w:noProof/>
              </w:rPr>
              <w:t>3. Account Creation and Employee Registration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_Toc238196868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4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69" w:history="1">
            <w:r w:rsidR="007F155B" w:rsidRPr="0031775C">
              <w:rPr>
                <w:rStyle w:val="Hyperlink"/>
                <w:noProof/>
              </w:rPr>
              <w:t>Functional Feature Set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_Toc238196869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4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70" w:history="1">
            <w:r w:rsidR="007F155B" w:rsidRPr="0031775C">
              <w:rPr>
                <w:rStyle w:val="Hyperlink"/>
                <w:noProof/>
              </w:rPr>
              <w:t>Operational Workflow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_Toc238196870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4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71" w:history="1">
            <w:r w:rsidR="007F155B" w:rsidRPr="0031775C">
              <w:rPr>
                <w:rStyle w:val="Hyperlink"/>
                <w:noProof/>
              </w:rPr>
              <w:t>Business Rules and Validation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_Toc238196871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4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96872" w:history="1">
            <w:r w:rsidR="007F155B" w:rsidRPr="0031775C">
              <w:rPr>
                <w:rStyle w:val="Hyperlink"/>
                <w:noProof/>
              </w:rPr>
              <w:t>4. Site Assignment and Attendance Monitoring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_Toc238196872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5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73" w:history="1">
            <w:r w:rsidR="007F155B" w:rsidRPr="0031775C">
              <w:rPr>
                <w:rStyle w:val="Hyperlink"/>
                <w:noProof/>
              </w:rPr>
              <w:t>Functional Feature Set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_Toc238196873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5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74" w:history="1">
            <w:r w:rsidR="007F155B" w:rsidRPr="0031775C">
              <w:rPr>
                <w:rStyle w:val="Hyperlink"/>
                <w:noProof/>
              </w:rPr>
              <w:t>Operational Workflow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_Toc238196874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5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75" w:history="1">
            <w:r w:rsidR="007F155B" w:rsidRPr="0031775C">
              <w:rPr>
                <w:rStyle w:val="Hyperlink"/>
                <w:noProof/>
              </w:rPr>
              <w:t>Business Rules and Validation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_Toc238196875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5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96876" w:history="1">
            <w:r w:rsidR="007F155B" w:rsidRPr="0031775C">
              <w:rPr>
                <w:rStyle w:val="Hyperlink"/>
                <w:noProof/>
              </w:rPr>
              <w:t>5. Guard Reliever Handover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_Toc238196876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6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77" w:history="1">
            <w:r w:rsidR="007F155B" w:rsidRPr="0031775C">
              <w:rPr>
                <w:rStyle w:val="Hyperlink"/>
                <w:noProof/>
              </w:rPr>
              <w:t>Functional Feature Set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_Toc238196877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6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78" w:history="1">
            <w:r w:rsidR="007F155B" w:rsidRPr="0031775C">
              <w:rPr>
                <w:rStyle w:val="Hyperlink"/>
                <w:noProof/>
              </w:rPr>
              <w:t>Operational Workflow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_Toc238196878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6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79" w:history="1">
            <w:r w:rsidR="007F155B" w:rsidRPr="0031775C">
              <w:rPr>
                <w:rStyle w:val="Hyperlink"/>
                <w:noProof/>
              </w:rPr>
              <w:t>Business Rules and Validation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_Toc238196879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7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96880" w:history="1">
            <w:r w:rsidR="007F155B" w:rsidRPr="0031775C">
              <w:rPr>
                <w:rStyle w:val="Hyperlink"/>
                <w:noProof/>
              </w:rPr>
              <w:t>6. Finance Review and Head Approval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_Toc238196880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8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81" w:history="1">
            <w:r w:rsidR="007F155B" w:rsidRPr="0031775C">
              <w:rPr>
                <w:rStyle w:val="Hyperlink"/>
                <w:noProof/>
              </w:rPr>
              <w:t>Functional Feature Set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_Toc238196881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8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82" w:history="1">
            <w:r w:rsidR="007F155B" w:rsidRPr="0031775C">
              <w:rPr>
                <w:rStyle w:val="Hyperlink"/>
                <w:noProof/>
              </w:rPr>
              <w:t>Operational Workflow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_Toc238196882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8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8196883" w:history="1">
            <w:r w:rsidR="007F155B" w:rsidRPr="0031775C">
              <w:rPr>
                <w:rStyle w:val="Hyperlink"/>
                <w:noProof/>
              </w:rPr>
              <w:t>Business Rules and Validation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_Toc238196883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8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96884" w:history="1">
            <w:r w:rsidR="007F155B" w:rsidRPr="0031775C">
              <w:rPr>
                <w:rStyle w:val="Hyperlink"/>
                <w:noProof/>
              </w:rPr>
              <w:t>7. Consolidated Risk-to-Control Mapping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_Toc238196884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9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96885" w:history="1">
            <w:r w:rsidR="007F155B" w:rsidRPr="0031775C">
              <w:rPr>
                <w:rStyle w:val="Hyperlink"/>
                <w:noProof/>
              </w:rPr>
              <w:t>8. Open Items for Next Revision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_Toc238196885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9</w:t>
            </w:r>
            <w:r w:rsidR="007F155B">
              <w:rPr>
                <w:noProof/>
              </w:rPr>
              <w:fldChar w:fldCharType="end"/>
            </w:r>
          </w:hyperlink>
        </w:p>
        <w:p w:rsidR="007F155B" w:rsidRDefault="00F4376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8196886" w:history="1">
            <w:r w:rsidR="007F155B" w:rsidRPr="0031775C">
              <w:rPr>
                <w:rStyle w:val="Hyperlink"/>
                <w:noProof/>
              </w:rPr>
              <w:t>9. Document Sign-Off</w:t>
            </w:r>
            <w:r w:rsidR="007F155B">
              <w:rPr>
                <w:noProof/>
              </w:rPr>
              <w:tab/>
            </w:r>
            <w:r w:rsidR="007F155B">
              <w:rPr>
                <w:noProof/>
              </w:rPr>
              <w:fldChar w:fldCharType="begin"/>
            </w:r>
            <w:r w:rsidR="007F155B">
              <w:rPr>
                <w:noProof/>
              </w:rPr>
              <w:instrText xml:space="preserve"> PAGEREF _Toc238196886 \h </w:instrText>
            </w:r>
            <w:r w:rsidR="007F155B">
              <w:rPr>
                <w:noProof/>
              </w:rPr>
            </w:r>
            <w:r w:rsidR="007F155B">
              <w:rPr>
                <w:noProof/>
              </w:rPr>
              <w:fldChar w:fldCharType="separate"/>
            </w:r>
            <w:r w:rsidR="007F155B">
              <w:rPr>
                <w:noProof/>
              </w:rPr>
              <w:t>10</w:t>
            </w:r>
            <w:r w:rsidR="007F155B">
              <w:rPr>
                <w:noProof/>
              </w:rPr>
              <w:fldChar w:fldCharType="end"/>
            </w:r>
          </w:hyperlink>
        </w:p>
        <w:p w:rsidR="00CF1504" w:rsidRDefault="00980D0D">
          <w:r>
            <w:fldChar w:fldCharType="end"/>
          </w:r>
        </w:p>
      </w:sdtContent>
    </w:sdt>
    <w:p w:rsidR="00CF1504" w:rsidRDefault="00980D0D">
      <w:r>
        <w:br w:type="page"/>
      </w:r>
    </w:p>
    <w:p w:rsidR="00CF1504" w:rsidRDefault="00CF1504">
      <w:pPr>
        <w:sectPr w:rsidR="00CF1504">
          <w:headerReference w:type="default" r:id="rId8"/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CF1504" w:rsidRDefault="00980D0D">
      <w:pPr>
        <w:pStyle w:val="Heading1"/>
        <w:spacing w:before="380" w:after="200"/>
      </w:pPr>
      <w:bookmarkStart w:id="2" w:name="_Toc238196866"/>
      <w:r>
        <w:lastRenderedPageBreak/>
        <w:t>1. Purpose of This Update</w:t>
      </w:r>
      <w:bookmarkEnd w:id="2"/>
    </w:p>
    <w:p w:rsidR="00CF1504" w:rsidRDefault="00980D0D">
      <w:pPr>
        <w:spacing w:after="160" w:line="276" w:lineRule="auto"/>
      </w:pPr>
      <w:r>
        <w:t>This document captures a refined role structure and end-to-end workflow for the Internal Workforce &amp; Payroll Management Platform. It supersedes the account-creation and attendance-handover sections of the v1.0 System Design Document while leaving the underlying payroll approval discipline and audit principles unchanged.</w:t>
      </w:r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A dedicated System Admin role now handles all account creation, separate from HR, Operations, and Finance.</w:t>
      </w:r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The guard attendance handover is reversed: the outgoing guard declares their reliever at clock-out, rather than the incoming guard claiming a predecessor at clock-in.</w:t>
      </w:r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A Head role is introduced as the final payroll approver, distinct from the read-only oversight role described previously.</w:t>
      </w:r>
    </w:p>
    <w:p w:rsidR="00CF1504" w:rsidRDefault="00980D0D">
      <w:pPr>
        <w:pStyle w:val="Heading1"/>
        <w:spacing w:before="380" w:after="200"/>
      </w:pPr>
      <w:bookmarkStart w:id="3" w:name="_Toc238196867"/>
      <w:r>
        <w:t>2. Roles and Responsibilities</w:t>
      </w:r>
      <w:bookmarkEnd w:id="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600"/>
      </w:tblGrid>
      <w:tr w:rsidR="00CF1504">
        <w:trPr>
          <w:cantSplit/>
          <w:tblHeader/>
        </w:trPr>
        <w:tc>
          <w:tcPr>
            <w:tcW w:w="18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6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Represents</w:t>
            </w:r>
          </w:p>
        </w:tc>
        <w:tc>
          <w:tcPr>
            <w:tcW w:w="46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 w:rsidR="00CF1504"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System Admin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Technical access control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Creates login accounts for every role — HR, Operations, Finance, Head, and Guard. Does not perform HR, operational, or financial actions.</w:t>
            </w:r>
          </w:p>
        </w:tc>
      </w:tr>
      <w:tr w:rsidR="00CF1504"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HR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People and pay-terms administration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Registers employees (staff and guards) and enters payroll-relevant contract details — salary and transport allowance for staff, rate and transport allowance for guards. Manages attendance at the period level: locking past periods and producing reports. Does not edit individual attendance records.</w:t>
            </w:r>
          </w:p>
        </w:tc>
      </w:tr>
      <w:tr w:rsidR="00CF1504"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Operations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Site deployment and oversight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Assigns guards to sites and monitors their working hours. Reports work-hour anomalies to HR rather than editing attendance data directly.</w:t>
            </w:r>
          </w:p>
        </w:tc>
      </w:tr>
      <w:tr w:rsidR="00CF1504"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Finance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Payroll processing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Views HR's registration and contract data, processes payroll, checks salary calculations, and can edit entries before sending the record to the Head for approval.</w:t>
            </w:r>
          </w:p>
        </w:tc>
      </w:tr>
      <w:tr w:rsidR="00CF1504"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Head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Final payroll approval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Reviews and approves payroll after Finance's checks, authorizing payment. Distinct from a read-only oversight role — this is an active approval step.</w:t>
            </w:r>
          </w:p>
        </w:tc>
      </w:tr>
      <w:tr w:rsidR="00CF1504">
        <w:trPr>
          <w:cantSplit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Guard</w:t>
            </w:r>
          </w:p>
        </w:tc>
        <w:tc>
          <w:tcPr>
            <w:tcW w:w="2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Field security personnel</w:t>
            </w:r>
          </w:p>
        </w:tc>
        <w:tc>
          <w:tcPr>
            <w:tcW w:w="46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Uses their own account to clock in and out, declaring their reliever at clock-out. Views their own work-hour history. No administrative access.</w:t>
            </w:r>
          </w:p>
        </w:tc>
      </w:tr>
    </w:tbl>
    <w:p w:rsidR="00CF1504" w:rsidRDefault="00CF1504">
      <w:pPr>
        <w:spacing w:after="120"/>
      </w:pPr>
    </w:p>
    <w:tbl>
      <w:tblPr>
        <w:tblW w:w="5000" w:type="pct"/>
        <w:tblBorders>
          <w:top w:val="single" w:sz="6" w:space="0" w:color="C9A227"/>
          <w:left w:val="single" w:sz="6" w:space="0" w:color="C9A227"/>
          <w:bottom w:val="single" w:sz="6" w:space="0" w:color="C9A227"/>
          <w:right w:val="single" w:sz="6" w:space="0" w:color="C9A22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4"/>
      </w:tblGrid>
      <w:tr w:rsidR="00CF1504">
        <w:tc>
          <w:tcPr>
            <w:tcW w:w="0" w:type="auto"/>
            <w:shd w:val="clear" w:color="auto" w:fill="FBF8EF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CF1504" w:rsidRDefault="00980D0D">
            <w:pPr>
              <w:spacing w:after="60"/>
            </w:pPr>
            <w:r>
              <w:rPr>
                <w:b/>
                <w:bCs/>
                <w:color w:val="1B2A4A"/>
                <w:sz w:val="20"/>
                <w:szCs w:val="20"/>
              </w:rPr>
              <w:t>Naming note</w:t>
            </w:r>
          </w:p>
          <w:p w:rsidR="00CF1504" w:rsidRDefault="00980D0D">
            <w:r>
              <w:rPr>
                <w:sz w:val="20"/>
                <w:szCs w:val="20"/>
              </w:rPr>
              <w:t xml:space="preserve">“Head” is used as a placeholder for the final payroll approver — confirm the intended title (e.g. General Manager, Head of Finance, </w:t>
            </w:r>
            <w:proofErr w:type="gramStart"/>
            <w:r>
              <w:rPr>
                <w:sz w:val="20"/>
                <w:szCs w:val="20"/>
              </w:rPr>
              <w:t>Director</w:t>
            </w:r>
            <w:proofErr w:type="gramEnd"/>
            <w:r>
              <w:rPr>
                <w:sz w:val="20"/>
                <w:szCs w:val="20"/>
              </w:rPr>
              <w:t>) before this is reflected in system role labels.</w:t>
            </w:r>
          </w:p>
        </w:tc>
      </w:tr>
    </w:tbl>
    <w:p w:rsidR="00CF1504" w:rsidRDefault="00CF1504">
      <w:pPr>
        <w:sectPr w:rsidR="00CF1504">
          <w:headerReference w:type="default" r:id="rId10"/>
          <w:footerReference w:type="default" r:id="rId1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B67EF0" w:rsidRDefault="00B67EF0">
      <w:pPr>
        <w:pStyle w:val="Heading1"/>
        <w:spacing w:before="380" w:after="200"/>
      </w:pPr>
      <w:bookmarkStart w:id="4" w:name="_Toc238196868"/>
      <w:r>
        <w:rPr>
          <w:noProof/>
        </w:rPr>
        <w:lastRenderedPageBreak/>
        <w:drawing>
          <wp:inline distT="0" distB="0" distL="0" distR="0">
            <wp:extent cx="5943600" cy="3550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34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04" w:rsidRDefault="00980D0D">
      <w:pPr>
        <w:pStyle w:val="Heading1"/>
        <w:spacing w:before="380" w:after="200"/>
      </w:pPr>
      <w:r>
        <w:t>3. Account Creation and Employee Registration</w:t>
      </w:r>
      <w:bookmarkEnd w:id="4"/>
    </w:p>
    <w:p w:rsidR="00CF1504" w:rsidRDefault="00980D0D">
      <w:pPr>
        <w:pStyle w:val="Heading2"/>
        <w:spacing w:before="280" w:after="140"/>
      </w:pPr>
      <w:bookmarkStart w:id="5" w:name="_Toc238196869"/>
      <w:r>
        <w:t>Functional Feature Set</w:t>
      </w:r>
      <w:bookmarkEnd w:id="5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00"/>
        <w:gridCol w:w="2500"/>
        <w:gridCol w:w="1000"/>
      </w:tblGrid>
      <w:tr w:rsidR="00CF1504">
        <w:trPr>
          <w:cantSplit/>
          <w:tblHeader/>
        </w:trPr>
        <w:tc>
          <w:tcPr>
            <w:tcW w:w="19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1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Detailed Requirement</w:t>
            </w:r>
          </w:p>
        </w:tc>
        <w:tc>
          <w:tcPr>
            <w:tcW w:w="25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Business Value</w:t>
            </w:r>
          </w:p>
        </w:tc>
        <w:tc>
          <w:tcPr>
            <w:tcW w:w="10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CF1504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Account creation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System Admin issues login credentials for HR, Operations, Finance, Head, and Guard users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Centralizes access issuance under one accountable role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CF1504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Employee registration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HR registers both office staff and guards as employees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Single source of truth for personnel records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CF1504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Payroll contract entry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HR enters salary and transport allowance for staff; rate and transport allowance for guards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Captures pay terms at the source, ready for Finance review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</w:tbl>
    <w:p w:rsidR="00CF1504" w:rsidRDefault="00980D0D">
      <w:pPr>
        <w:pStyle w:val="Heading2"/>
        <w:spacing w:before="280" w:after="140"/>
      </w:pPr>
      <w:bookmarkStart w:id="6" w:name="_Toc238196870"/>
      <w:r>
        <w:t>Operational Workflow</w:t>
      </w:r>
      <w:bookmarkEnd w:id="6"/>
    </w:p>
    <w:p w:rsidR="000966CA" w:rsidRDefault="000966CA" w:rsidP="000966CA">
      <w:pPr>
        <w:spacing w:after="70"/>
        <w:ind w:left="360" w:hanging="360"/>
      </w:pPr>
      <w:r>
        <w:rPr>
          <w:b/>
          <w:bCs/>
          <w:color w:val="1B2A4A"/>
        </w:rPr>
        <w:t xml:space="preserve">1. </w:t>
      </w:r>
      <w:r>
        <w:t>System Admin creates a login account for the new user, regardless of their eventual role.</w:t>
      </w:r>
    </w:p>
    <w:p w:rsidR="000966CA" w:rsidRDefault="000966CA" w:rsidP="000966CA">
      <w:pPr>
        <w:spacing w:after="70"/>
        <w:ind w:left="360" w:hanging="360"/>
      </w:pPr>
      <w:r>
        <w:rPr>
          <w:b/>
          <w:bCs/>
          <w:color w:val="1B2A4A"/>
        </w:rPr>
        <w:t xml:space="preserve">2. </w:t>
      </w:r>
      <w:r>
        <w:t>HR registers the employee record — staff or guard — linked to that account.</w:t>
      </w:r>
    </w:p>
    <w:p w:rsidR="000966CA" w:rsidRDefault="000966CA" w:rsidP="000966CA">
      <w:pPr>
        <w:spacing w:after="70"/>
        <w:ind w:left="360" w:hanging="360"/>
      </w:pPr>
      <w:r>
        <w:rPr>
          <w:b/>
          <w:bCs/>
          <w:color w:val="1B2A4A"/>
        </w:rPr>
        <w:t xml:space="preserve">3. </w:t>
      </w:r>
      <w:r>
        <w:t>HR enters the payroll-relevant contract details for that employee.</w:t>
      </w:r>
    </w:p>
    <w:p w:rsidR="000966CA" w:rsidRDefault="000966CA" w:rsidP="000966CA">
      <w:pPr>
        <w:spacing w:after="70"/>
        <w:ind w:left="360" w:hanging="360"/>
      </w:pPr>
      <w:r>
        <w:rPr>
          <w:b/>
          <w:bCs/>
          <w:color w:val="1B2A4A"/>
        </w:rPr>
        <w:t xml:space="preserve">4. </w:t>
      </w:r>
      <w:r>
        <w:t>The registration and contract data become visible to Finance for later payroll processing.</w:t>
      </w:r>
    </w:p>
    <w:p w:rsidR="000966CA" w:rsidRDefault="000966CA">
      <w:pPr>
        <w:pStyle w:val="Heading2"/>
        <w:spacing w:before="280" w:after="140"/>
      </w:pPr>
    </w:p>
    <w:p w:rsidR="00CF1504" w:rsidRDefault="00980D0D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6315075" cy="19335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04" w:rsidRDefault="00980D0D">
      <w:pPr>
        <w:spacing w:after="300"/>
        <w:jc w:val="center"/>
        <w:rPr>
          <w:i/>
          <w:iCs/>
          <w:color w:val="444444"/>
          <w:sz w:val="17"/>
          <w:szCs w:val="17"/>
        </w:rPr>
      </w:pPr>
      <w:r>
        <w:rPr>
          <w:i/>
          <w:iCs/>
          <w:color w:val="444444"/>
          <w:sz w:val="17"/>
          <w:szCs w:val="17"/>
        </w:rPr>
        <w:t>Figure 1 — Account creation and employee registration.</w:t>
      </w:r>
    </w:p>
    <w:p w:rsidR="000966CA" w:rsidRDefault="000966CA">
      <w:pPr>
        <w:spacing w:after="300"/>
        <w:jc w:val="center"/>
      </w:pP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35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04" w:rsidRDefault="00980D0D">
      <w:pPr>
        <w:pStyle w:val="Heading2"/>
        <w:spacing w:before="280" w:after="140"/>
      </w:pPr>
      <w:bookmarkStart w:id="7" w:name="_Toc238196871"/>
      <w:r>
        <w:t>Business Rules and Validation</w:t>
      </w:r>
      <w:bookmarkEnd w:id="7"/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Only System Admin can create login accounts; no other role can self-provision access.</w:t>
      </w:r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HR's contract entries (salary, rate, allowances) do not require a second sign-off before saving — Finance reviews them later during payroll processing, not at entry time.</w:t>
      </w:r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Every account creation, employee registration, and contract entry is written to the audit log.</w:t>
      </w:r>
    </w:p>
    <w:p w:rsidR="00CF1504" w:rsidRDefault="00CF1504">
      <w:pPr>
        <w:sectPr w:rsidR="00CF1504">
          <w:headerReference w:type="default" r:id="rId15"/>
          <w:footerReference w:type="default" r:id="rId16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CF1504" w:rsidRDefault="00980D0D">
      <w:pPr>
        <w:pStyle w:val="Heading1"/>
        <w:spacing w:before="380" w:after="200"/>
      </w:pPr>
      <w:bookmarkStart w:id="8" w:name="_Toc238196872"/>
      <w:r>
        <w:lastRenderedPageBreak/>
        <w:t>4. Site Assignment and Attendance Monitoring</w:t>
      </w:r>
      <w:bookmarkEnd w:id="8"/>
    </w:p>
    <w:p w:rsidR="00CF1504" w:rsidRDefault="00980D0D">
      <w:pPr>
        <w:pStyle w:val="Heading2"/>
        <w:spacing w:before="280" w:after="140"/>
      </w:pPr>
      <w:bookmarkStart w:id="9" w:name="_Toc238196873"/>
      <w:r>
        <w:t>Functional Feature Set</w:t>
      </w:r>
      <w:bookmarkEnd w:id="9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00"/>
        <w:gridCol w:w="2500"/>
        <w:gridCol w:w="1000"/>
      </w:tblGrid>
      <w:tr w:rsidR="00CF1504">
        <w:trPr>
          <w:cantSplit/>
          <w:tblHeader/>
        </w:trPr>
        <w:tc>
          <w:tcPr>
            <w:tcW w:w="19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1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Detailed Requirement</w:t>
            </w:r>
          </w:p>
        </w:tc>
        <w:tc>
          <w:tcPr>
            <w:tcW w:w="25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Business Value</w:t>
            </w:r>
          </w:p>
        </w:tc>
        <w:tc>
          <w:tcPr>
            <w:tcW w:w="10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CF1504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Site assignment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Operations places a registered guard on a site's roster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Correct deployment tracking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CF1504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Hours monitoring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Operations views guard working hours on an ongoing basis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Early visibility into coverage and irregularities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CF1504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Anomaly reporting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Operations reports work-hour errors to HR rather than editing them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Keeps attendance data changes within an audited path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</w:tbl>
    <w:p w:rsidR="00CF1504" w:rsidRDefault="00CF1504">
      <w:pPr>
        <w:pStyle w:val="Heading2"/>
        <w:spacing w:before="280" w:after="140"/>
      </w:pPr>
    </w:p>
    <w:p w:rsidR="000966CA" w:rsidRPr="00F95D66" w:rsidRDefault="00F95D66" w:rsidP="00F95D66">
      <w:pPr>
        <w:spacing w:after="300"/>
        <w:jc w:val="center"/>
        <w:rPr>
          <w:i/>
          <w:iCs/>
          <w:color w:val="444444"/>
          <w:sz w:val="17"/>
          <w:szCs w:val="17"/>
        </w:rPr>
      </w:pPr>
      <w:r>
        <w:rPr>
          <w:i/>
          <w:iCs/>
          <w:noProof/>
          <w:color w:val="444444"/>
          <w:sz w:val="17"/>
          <w:szCs w:val="17"/>
        </w:rPr>
        <w:drawing>
          <wp:inline distT="0" distB="0" distL="0" distR="0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143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04" w:rsidRDefault="00980D0D">
      <w:pPr>
        <w:spacing w:after="70"/>
        <w:ind w:left="360" w:hanging="360"/>
      </w:pPr>
      <w:r>
        <w:rPr>
          <w:b/>
          <w:bCs/>
          <w:color w:val="1B2A4A"/>
        </w:rPr>
        <w:t xml:space="preserve">5. </w:t>
      </w:r>
      <w:r>
        <w:t>Operations assigns a registered guard to a specific site.</w:t>
      </w:r>
    </w:p>
    <w:p w:rsidR="00CF1504" w:rsidRDefault="00980D0D">
      <w:pPr>
        <w:spacing w:after="70"/>
        <w:ind w:left="360" w:hanging="360"/>
      </w:pPr>
      <w:r>
        <w:rPr>
          <w:b/>
          <w:bCs/>
          <w:color w:val="1B2A4A"/>
        </w:rPr>
        <w:t xml:space="preserve">6. </w:t>
      </w:r>
      <w:r>
        <w:t>Operations monitors that guard's working hours on an ongoing basis.</w:t>
      </w:r>
    </w:p>
    <w:p w:rsidR="00CF1504" w:rsidRDefault="00980D0D">
      <w:pPr>
        <w:spacing w:after="70"/>
        <w:ind w:left="360" w:hanging="360"/>
      </w:pPr>
      <w:r>
        <w:rPr>
          <w:b/>
          <w:bCs/>
          <w:color w:val="1B2A4A"/>
        </w:rPr>
        <w:t xml:space="preserve">7. </w:t>
      </w:r>
      <w:r>
        <w:t>If a work-hour discrepancy appears, Operations reports it to HR rather than editing the record.</w:t>
      </w:r>
    </w:p>
    <w:p w:rsidR="00F95D66" w:rsidRDefault="00F95D66">
      <w:pPr>
        <w:spacing w:after="70"/>
        <w:ind w:left="360" w:hanging="360"/>
      </w:pPr>
    </w:p>
    <w:p w:rsidR="00F95D66" w:rsidRDefault="00F95D66">
      <w:pPr>
        <w:spacing w:after="70"/>
        <w:ind w:left="360" w:hanging="360"/>
      </w:pPr>
    </w:p>
    <w:p w:rsidR="00F95D66" w:rsidRDefault="00F95D66">
      <w:pPr>
        <w:spacing w:after="70"/>
        <w:ind w:left="360" w:hanging="360"/>
      </w:pPr>
    </w:p>
    <w:p w:rsidR="00F95D66" w:rsidRDefault="00F95D66">
      <w:pPr>
        <w:spacing w:after="70"/>
        <w:ind w:left="360" w:hanging="360"/>
      </w:pPr>
    </w:p>
    <w:p w:rsidR="00CF1504" w:rsidRDefault="00980D0D">
      <w:pPr>
        <w:pStyle w:val="Heading2"/>
        <w:spacing w:before="280" w:after="140"/>
      </w:pPr>
      <w:bookmarkStart w:id="10" w:name="_Toc238196875"/>
      <w:r>
        <w:lastRenderedPageBreak/>
        <w:t>Business Rules and Validation</w:t>
      </w:r>
      <w:bookmarkEnd w:id="10"/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Operations can view but not directly edit attendance records — this preserves the integrity of the guard-recorded handover data described in Section 5.</w:t>
      </w:r>
    </w:p>
    <w:p w:rsidR="00F95D66" w:rsidRDefault="00980D0D" w:rsidP="00F95D66">
      <w:pPr>
        <w:pStyle w:val="ListParagraph"/>
        <w:numPr>
          <w:ilvl w:val="0"/>
          <w:numId w:val="1"/>
        </w:numPr>
        <w:spacing w:after="80"/>
      </w:pPr>
      <w:r>
        <w:t>Anomaly reports are logged and routed to HR, keeping a visible trail of who raised the concern and when.</w:t>
      </w:r>
      <w:r w:rsidR="00F95D66">
        <w:t xml:space="preserve"> </w:t>
      </w:r>
    </w:p>
    <w:p w:rsidR="00F95D66" w:rsidRDefault="00F95D66" w:rsidP="00F95D66">
      <w:pPr>
        <w:pStyle w:val="Heading1"/>
        <w:spacing w:before="380" w:after="200"/>
      </w:pPr>
      <w:r>
        <w:t>5. Guard Reliever Handover</w:t>
      </w:r>
    </w:p>
    <w:p w:rsidR="00F95D66" w:rsidRDefault="00F95D66" w:rsidP="00F95D66">
      <w:pPr>
        <w:spacing w:after="160" w:line="276" w:lineRule="auto"/>
      </w:pPr>
      <w:r>
        <w:t>This is the core attendance-integrity control. Rather than the incoming guard claiming who they are relieving, the outgoing guard declares their reliever by ID at the moment they clock out. The system only accepts a clock-in from that specific declared guard.</w:t>
      </w:r>
    </w:p>
    <w:p w:rsidR="00F95D66" w:rsidRDefault="00F95D66" w:rsidP="00F95D66">
      <w:pPr>
        <w:pStyle w:val="Heading2"/>
        <w:spacing w:before="280" w:after="140"/>
      </w:pPr>
      <w:r>
        <w:t>Functional Feature Set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00"/>
        <w:gridCol w:w="2500"/>
        <w:gridCol w:w="1000"/>
      </w:tblGrid>
      <w:tr w:rsidR="00F95D66" w:rsidTr="00CD2B57">
        <w:trPr>
          <w:cantSplit/>
          <w:tblHeader/>
        </w:trPr>
        <w:tc>
          <w:tcPr>
            <w:tcW w:w="19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1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b/>
                <w:bCs/>
                <w:color w:val="FFFFFF"/>
                <w:sz w:val="18"/>
                <w:szCs w:val="18"/>
              </w:rPr>
              <w:t>Detailed Requirement</w:t>
            </w:r>
          </w:p>
        </w:tc>
        <w:tc>
          <w:tcPr>
            <w:tcW w:w="25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b/>
                <w:bCs/>
                <w:color w:val="FFFFFF"/>
                <w:sz w:val="18"/>
                <w:szCs w:val="18"/>
              </w:rPr>
              <w:t>Business Value</w:t>
            </w:r>
          </w:p>
        </w:tc>
        <w:tc>
          <w:tcPr>
            <w:tcW w:w="10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F95D66" w:rsidTr="00CD2B5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Reliever declaration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At clock-out, the guard identifies their reliever by ID or name lookup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The person leaving — not the person arriving — asserts the handover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F95D66" w:rsidTr="00CD2B5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Declaration matching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Clock-in is only accepted from the specific guard declared by the outgoing guard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Prevents an incoming guard from fabricating a predecessor claim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F95D66" w:rsidTr="00CD2B5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First-shift handling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A site's first-ever shift has no prior declaration to check and proceeds directly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Covers legitimate cases with no predecessor to reference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F95D66" w:rsidTr="00CD2B57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Own attendance history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Guards can view their own clock-in/out history at any time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Transparency for the guard's own record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F95D66" w:rsidRDefault="00F95D66" w:rsidP="00CD2B57">
            <w:r>
              <w:rPr>
                <w:color w:val="000000"/>
                <w:sz w:val="18"/>
                <w:szCs w:val="18"/>
              </w:rPr>
              <w:t>Should</w:t>
            </w:r>
          </w:p>
        </w:tc>
      </w:tr>
    </w:tbl>
    <w:p w:rsidR="00F95D66" w:rsidRDefault="00F95D66" w:rsidP="00F95D66">
      <w:pPr>
        <w:pStyle w:val="Heading2"/>
        <w:spacing w:before="280" w:after="140"/>
      </w:pPr>
      <w:r>
        <w:t>Operational Workflow</w:t>
      </w:r>
    </w:p>
    <w:p w:rsidR="00CF1504" w:rsidRPr="00F95D66" w:rsidRDefault="00F95D66" w:rsidP="00F95D66">
      <w:pPr>
        <w:tabs>
          <w:tab w:val="left" w:pos="3975"/>
        </w:tabs>
        <w:sectPr w:rsidR="00CF1504" w:rsidRPr="00F95D66">
          <w:headerReference w:type="default" r:id="rId18"/>
          <w:footerReference w:type="default" r:id="rId1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ab/>
      </w:r>
      <w:r>
        <w:rPr>
          <w:noProof/>
        </w:rPr>
        <w:drawing>
          <wp:inline distT="0" distB="0" distL="0" distR="0" wp14:anchorId="34AED125" wp14:editId="319A3A01">
            <wp:extent cx="5219700" cy="2295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04" w:rsidRDefault="00CF1504" w:rsidP="00F95D66">
      <w:pPr>
        <w:spacing w:before="100" w:after="100"/>
      </w:pPr>
    </w:p>
    <w:p w:rsidR="00CF1504" w:rsidRDefault="00980D0D">
      <w:pPr>
        <w:spacing w:after="300"/>
        <w:jc w:val="center"/>
        <w:rPr>
          <w:i/>
          <w:iCs/>
          <w:color w:val="444444"/>
          <w:sz w:val="17"/>
          <w:szCs w:val="17"/>
        </w:rPr>
      </w:pPr>
      <w:r>
        <w:rPr>
          <w:i/>
          <w:iCs/>
          <w:color w:val="444444"/>
          <w:sz w:val="17"/>
          <w:szCs w:val="17"/>
        </w:rPr>
        <w:t>Figure 3 — Guard reliever handover: the outgoing guard's declaration gates the incoming guard's clock-in.</w:t>
      </w:r>
    </w:p>
    <w:p w:rsidR="000966CA" w:rsidRDefault="000966CA">
      <w:pPr>
        <w:spacing w:after="300"/>
        <w:jc w:val="center"/>
      </w:pPr>
      <w:r>
        <w:rPr>
          <w:noProof/>
        </w:rPr>
        <w:drawing>
          <wp:inline distT="0" distB="0" distL="0" distR="0">
            <wp:extent cx="5943600" cy="3352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30)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04" w:rsidRDefault="00980D0D">
      <w:pPr>
        <w:spacing w:after="70"/>
        <w:ind w:left="360" w:hanging="360"/>
      </w:pPr>
      <w:r>
        <w:rPr>
          <w:b/>
          <w:bCs/>
          <w:color w:val="1B2A4A"/>
        </w:rPr>
        <w:t xml:space="preserve">8. </w:t>
      </w:r>
      <w:r>
        <w:t>An on-duty guard clocks out and declares, by ID or name lookup, which guard is relieving them.</w:t>
      </w:r>
    </w:p>
    <w:p w:rsidR="00CF1504" w:rsidRDefault="00980D0D">
      <w:pPr>
        <w:spacing w:after="70"/>
        <w:ind w:left="360" w:hanging="360"/>
      </w:pPr>
      <w:r>
        <w:rPr>
          <w:b/>
          <w:bCs/>
          <w:color w:val="1B2A4A"/>
        </w:rPr>
        <w:t xml:space="preserve">9. </w:t>
      </w:r>
      <w:r>
        <w:t>When that named guard attempts to clock in, the system checks their identity against the declaration.</w:t>
      </w:r>
    </w:p>
    <w:p w:rsidR="00CF1504" w:rsidRDefault="00980D0D">
      <w:pPr>
        <w:spacing w:after="70"/>
        <w:ind w:left="360" w:hanging="360"/>
      </w:pPr>
      <w:r>
        <w:rPr>
          <w:b/>
          <w:bCs/>
          <w:color w:val="1B2A4A"/>
        </w:rPr>
        <w:t xml:space="preserve">10. </w:t>
      </w:r>
      <w:r>
        <w:t>A match is accepted and recorded; a guard who is not the declared reliever is blocked from clocking in.</w:t>
      </w:r>
    </w:p>
    <w:p w:rsidR="00CF1504" w:rsidRDefault="00980D0D">
      <w:pPr>
        <w:spacing w:after="70"/>
        <w:ind w:left="360" w:hanging="360"/>
      </w:pPr>
      <w:r>
        <w:rPr>
          <w:b/>
          <w:bCs/>
          <w:color w:val="1B2A4A"/>
        </w:rPr>
        <w:t xml:space="preserve">11. </w:t>
      </w:r>
      <w:r>
        <w:t>A site's first-ever shift, with no predecessor to declare a reliever, proceeds without this check.</w:t>
      </w:r>
    </w:p>
    <w:p w:rsidR="00CF1504" w:rsidRDefault="00980D0D">
      <w:pPr>
        <w:pStyle w:val="Heading2"/>
        <w:spacing w:before="280" w:after="140"/>
      </w:pPr>
      <w:bookmarkStart w:id="11" w:name="_Toc238196879"/>
      <w:r>
        <w:t>Business Rules and Validation</w:t>
      </w:r>
      <w:bookmarkEnd w:id="11"/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The reliever declaration should reference a valid, registered guard via lookup — not free-text entry — to prevent typos or impersonation from silently breaking the chain.</w:t>
      </w:r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A guard cannot self-declare as their own reliever.</w:t>
      </w:r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Every clock-in and clock-out, and the declaration linking them, is written to the audit log with a server-side timestamp.</w:t>
      </w:r>
    </w:p>
    <w:p w:rsidR="00CF1504" w:rsidRDefault="00980D0D" w:rsidP="007F155B">
      <w:pPr>
        <w:pStyle w:val="ListParagraph"/>
        <w:numPr>
          <w:ilvl w:val="0"/>
          <w:numId w:val="1"/>
        </w:numPr>
        <w:spacing w:after="80"/>
        <w:sectPr w:rsidR="00CF1504">
          <w:headerReference w:type="default" r:id="rId22"/>
          <w:footerReference w:type="default" r:id="rId23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>Exception handling for a reliever who never arrives is an open item for the next revision of this workflow.</w:t>
      </w:r>
    </w:p>
    <w:p w:rsidR="00CF1504" w:rsidRDefault="00980D0D">
      <w:pPr>
        <w:pStyle w:val="Heading1"/>
        <w:spacing w:before="380" w:after="200"/>
      </w:pPr>
      <w:bookmarkStart w:id="12" w:name="_Toc238196880"/>
      <w:r>
        <w:lastRenderedPageBreak/>
        <w:t>6. Finance Review and Head Approval</w:t>
      </w:r>
      <w:bookmarkEnd w:id="12"/>
    </w:p>
    <w:p w:rsidR="00CF1504" w:rsidRDefault="00980D0D">
      <w:pPr>
        <w:pStyle w:val="Heading2"/>
        <w:spacing w:before="280" w:after="140"/>
      </w:pPr>
      <w:bookmarkStart w:id="13" w:name="_Toc238196881"/>
      <w:r>
        <w:t>Functional Feature Set</w:t>
      </w:r>
      <w:bookmarkEnd w:id="13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00"/>
        <w:gridCol w:w="2500"/>
        <w:gridCol w:w="1000"/>
      </w:tblGrid>
      <w:tr w:rsidR="00CF1504">
        <w:trPr>
          <w:cantSplit/>
          <w:tblHeader/>
        </w:trPr>
        <w:tc>
          <w:tcPr>
            <w:tcW w:w="19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41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Detailed Requirement</w:t>
            </w:r>
          </w:p>
        </w:tc>
        <w:tc>
          <w:tcPr>
            <w:tcW w:w="25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Business Value</w:t>
            </w:r>
          </w:p>
        </w:tc>
        <w:tc>
          <w:tcPr>
            <w:tcW w:w="10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CF1504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Payroll review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Finance views registration and contract data and checks salary calculations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Independent verification before payment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CF1504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Correction handling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Finance can edit payroll entries if an error is found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Errors are fixed before approval, not after payment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CF1504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Final approval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The Head reviews and approves before payment is authorized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A second, independent sign-off on money movement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CF1504">
        <w:trPr>
          <w:cantSplit/>
        </w:trPr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Payment processing</w:t>
            </w:r>
          </w:p>
        </w:tc>
        <w:tc>
          <w:tcPr>
            <w:tcW w:w="41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Payment is issued only after Head approval</w:t>
            </w:r>
          </w:p>
        </w:tc>
        <w:tc>
          <w:tcPr>
            <w:tcW w:w="25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No payment occurs without an approved record</w:t>
            </w:r>
          </w:p>
        </w:tc>
        <w:tc>
          <w:tcPr>
            <w:tcW w:w="10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</w:tbl>
    <w:p w:rsidR="00CF1504" w:rsidRDefault="00980D0D">
      <w:pPr>
        <w:pStyle w:val="Heading2"/>
        <w:spacing w:before="280" w:after="140"/>
      </w:pPr>
      <w:bookmarkStart w:id="14" w:name="_Toc238196882"/>
      <w:r>
        <w:t>Operational Workflow</w:t>
      </w:r>
      <w:bookmarkEnd w:id="14"/>
    </w:p>
    <w:p w:rsidR="00CF1504" w:rsidRDefault="00980D0D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6134100" cy="2009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04" w:rsidRDefault="00980D0D">
      <w:pPr>
        <w:spacing w:after="300"/>
        <w:jc w:val="center"/>
      </w:pPr>
      <w:r>
        <w:rPr>
          <w:i/>
          <w:iCs/>
          <w:color w:val="444444"/>
          <w:sz w:val="17"/>
          <w:szCs w:val="17"/>
        </w:rPr>
        <w:t>Figure 4 — Finance review and Head approval.</w:t>
      </w:r>
    </w:p>
    <w:p w:rsidR="00CF1504" w:rsidRDefault="00980D0D">
      <w:pPr>
        <w:spacing w:after="70"/>
        <w:ind w:left="360" w:hanging="360"/>
      </w:pPr>
      <w:r>
        <w:rPr>
          <w:b/>
          <w:bCs/>
          <w:color w:val="1B2A4A"/>
        </w:rPr>
        <w:t xml:space="preserve">12. </w:t>
      </w:r>
      <w:r>
        <w:t>Finance reviews the registration, contract, and attendance data compiled for the payroll period.</w:t>
      </w:r>
    </w:p>
    <w:p w:rsidR="00CF1504" w:rsidRDefault="00980D0D">
      <w:pPr>
        <w:spacing w:after="70"/>
        <w:ind w:left="360" w:hanging="360"/>
      </w:pPr>
      <w:r>
        <w:rPr>
          <w:b/>
          <w:bCs/>
          <w:color w:val="1B2A4A"/>
        </w:rPr>
        <w:t xml:space="preserve">13. </w:t>
      </w:r>
      <w:r>
        <w:t>Finance checks the salary or rate-based calculation and edits any entry found to be incorrect.</w:t>
      </w:r>
    </w:p>
    <w:p w:rsidR="00CF1504" w:rsidRDefault="00980D0D">
      <w:pPr>
        <w:spacing w:after="70"/>
        <w:ind w:left="360" w:hanging="360"/>
      </w:pPr>
      <w:r>
        <w:rPr>
          <w:b/>
          <w:bCs/>
          <w:color w:val="1B2A4A"/>
        </w:rPr>
        <w:t xml:space="preserve">14. </w:t>
      </w:r>
      <w:r>
        <w:t>The record is sent to the Head for review and approval.</w:t>
      </w:r>
    </w:p>
    <w:p w:rsidR="00CF1504" w:rsidRDefault="00980D0D">
      <w:pPr>
        <w:spacing w:after="70"/>
        <w:ind w:left="360" w:hanging="360"/>
      </w:pPr>
      <w:r>
        <w:rPr>
          <w:b/>
          <w:bCs/>
          <w:color w:val="1B2A4A"/>
        </w:rPr>
        <w:t xml:space="preserve">15. </w:t>
      </w:r>
      <w:r>
        <w:t>On approval, payment is processed and the record is marked paid.</w:t>
      </w:r>
    </w:p>
    <w:p w:rsidR="000966CA" w:rsidRDefault="000966CA">
      <w:pPr>
        <w:spacing w:after="70"/>
        <w:ind w:left="360" w:hanging="360"/>
      </w:pPr>
      <w:r>
        <w:rPr>
          <w:b/>
          <w:bCs/>
          <w:color w:val="1B2A4A"/>
        </w:rPr>
        <w:lastRenderedPageBreak/>
        <w:t xml:space="preserve"> </w:t>
      </w: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42)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504" w:rsidRDefault="00980D0D">
      <w:pPr>
        <w:pStyle w:val="Heading2"/>
        <w:spacing w:before="280" w:after="140"/>
      </w:pPr>
      <w:bookmarkStart w:id="15" w:name="_Toc238196883"/>
      <w:r>
        <w:t>Business Rules and Validation</w:t>
      </w:r>
      <w:bookmarkEnd w:id="15"/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Finance's edits do not require a separate sign-off before submission to the Head — the Head's approval is the control point for the whole record.</w:t>
      </w:r>
    </w:p>
    <w:p w:rsidR="00CF1504" w:rsidRDefault="00980D0D">
      <w:pPr>
        <w:pStyle w:val="ListParagraph"/>
        <w:numPr>
          <w:ilvl w:val="0"/>
          <w:numId w:val="1"/>
        </w:numPr>
        <w:spacing w:after="80"/>
      </w:pPr>
      <w:r>
        <w:t>Payment cannot be processed without a recorded Head approval.</w:t>
      </w:r>
    </w:p>
    <w:p w:rsidR="00CF1504" w:rsidRDefault="00980D0D" w:rsidP="0003144F">
      <w:pPr>
        <w:pStyle w:val="ListParagraph"/>
        <w:numPr>
          <w:ilvl w:val="0"/>
          <w:numId w:val="1"/>
        </w:numPr>
        <w:spacing w:after="80"/>
        <w:sectPr w:rsidR="00CF1504">
          <w:headerReference w:type="default" r:id="rId26"/>
          <w:footerReference w:type="default" r:id="rId2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  <w:r>
        <w:t>Every review, edit, and approval action is attributed to a specific user and written to the audit log.</w:t>
      </w:r>
    </w:p>
    <w:p w:rsidR="00CF1504" w:rsidRDefault="00980D0D">
      <w:pPr>
        <w:pStyle w:val="Heading1"/>
        <w:spacing w:before="380" w:after="200"/>
      </w:pPr>
      <w:bookmarkStart w:id="16" w:name="_Toc238196884"/>
      <w:r>
        <w:lastRenderedPageBreak/>
        <w:t>7. Consolidated Risk-to-Control Mapping</w:t>
      </w:r>
      <w:bookmarkEnd w:id="16"/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900"/>
      </w:tblGrid>
      <w:tr w:rsidR="00CF1504">
        <w:trPr>
          <w:cantSplit/>
          <w:tblHeader/>
        </w:trPr>
        <w:tc>
          <w:tcPr>
            <w:tcW w:w="44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490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F1504" w:rsidRDefault="00980D0D">
            <w:r>
              <w:rPr>
                <w:b/>
                <w:bCs/>
                <w:color w:val="FFFFFF"/>
                <w:sz w:val="18"/>
                <w:szCs w:val="18"/>
              </w:rPr>
              <w:t>Control</w:t>
            </w:r>
          </w:p>
        </w:tc>
      </w:tr>
      <w:tr w:rsidR="00CF1504">
        <w:trPr>
          <w:cantSplit/>
        </w:trPr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Unauthorized account creation</w:t>
            </w:r>
          </w:p>
        </w:tc>
        <w:tc>
          <w:tcPr>
            <w:tcW w:w="4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Only System Admin can create logins; no self-provisioning by any other role</w:t>
            </w:r>
          </w:p>
        </w:tc>
      </w:tr>
      <w:tr w:rsidR="00CF1504">
        <w:trPr>
          <w:cantSplit/>
        </w:trPr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Unregistered or unverified pay terms</w:t>
            </w:r>
          </w:p>
        </w:tc>
        <w:tc>
          <w:tcPr>
            <w:tcW w:w="4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HR enters contract data at registration; Finance independently checks it before approval</w:t>
            </w:r>
          </w:p>
        </w:tc>
      </w:tr>
      <w:tr w:rsidR="00CF1504">
        <w:trPr>
          <w:cantSplit/>
        </w:trPr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Attendance manipulated after the fact</w:t>
            </w:r>
          </w:p>
        </w:tc>
        <w:tc>
          <w:tcPr>
            <w:tcW w:w="4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Operations and HR can view and lock/report on attendance but cannot directly edit guard clock records</w:t>
            </w:r>
          </w:p>
        </w:tc>
      </w:tr>
      <w:tr w:rsidR="00CF1504">
        <w:trPr>
          <w:cantSplit/>
        </w:trPr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Incoming guard falsely claiming a predecessor</w:t>
            </w:r>
          </w:p>
        </w:tc>
        <w:tc>
          <w:tcPr>
            <w:tcW w:w="4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The outgoing guard's declaration — not the incoming guard's claim — is what the system checks</w:t>
            </w:r>
          </w:p>
        </w:tc>
      </w:tr>
      <w:tr w:rsidR="00CF1504">
        <w:trPr>
          <w:cantSplit/>
        </w:trPr>
        <w:tc>
          <w:tcPr>
            <w:tcW w:w="44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Payroll paid without independent review</w:t>
            </w:r>
          </w:p>
        </w:tc>
        <w:tc>
          <w:tcPr>
            <w:tcW w:w="490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CF1504" w:rsidRDefault="00980D0D">
            <w:r>
              <w:rPr>
                <w:color w:val="000000"/>
                <w:sz w:val="18"/>
                <w:szCs w:val="18"/>
              </w:rPr>
              <w:t>Finance reviews and can correct; the Head must separately approve before payment is possible</w:t>
            </w:r>
          </w:p>
        </w:tc>
      </w:tr>
    </w:tbl>
    <w:p w:rsidR="00980D0D" w:rsidRDefault="00980D0D" w:rsidP="00C90F10">
      <w:pPr>
        <w:pStyle w:val="ListParagraph"/>
        <w:spacing w:after="80"/>
        <w:ind w:left="720"/>
      </w:pPr>
    </w:p>
    <w:sectPr w:rsidR="00980D0D">
      <w:headerReference w:type="default" r:id="rId28"/>
      <w:footerReference w:type="defaul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0D0D" w:rsidRDefault="00980D0D">
      <w:r>
        <w:separator/>
      </w:r>
    </w:p>
  </w:endnote>
  <w:endnote w:type="continuationSeparator" w:id="0">
    <w:p w:rsidR="00980D0D" w:rsidRDefault="00980D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center"/>
    </w:pPr>
    <w:r>
      <w:rPr>
        <w:color w:val="777777"/>
        <w:sz w:val="15"/>
        <w:szCs w:val="15"/>
      </w:rPr>
      <w:t xml:space="preserve">Vital Security PLC — Confidential   |   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03144F">
      <w:rPr>
        <w:noProof/>
        <w:color w:val="777777"/>
        <w:sz w:val="15"/>
        <w:szCs w:val="15"/>
      </w:rPr>
      <w:t>2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03144F">
      <w:rPr>
        <w:noProof/>
        <w:color w:val="777777"/>
        <w:sz w:val="15"/>
        <w:szCs w:val="15"/>
      </w:rPr>
      <w:t>11</w:t>
    </w:r>
    <w:r>
      <w:rPr>
        <w:color w:val="777777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center"/>
    </w:pPr>
    <w:r>
      <w:rPr>
        <w:color w:val="777777"/>
        <w:sz w:val="15"/>
        <w:szCs w:val="15"/>
      </w:rPr>
      <w:t xml:space="preserve">Vital Security PLC — Confidential   |   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6C5C4A">
      <w:rPr>
        <w:noProof/>
        <w:color w:val="777777"/>
        <w:sz w:val="15"/>
        <w:szCs w:val="15"/>
      </w:rPr>
      <w:t>3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6C5C4A">
      <w:rPr>
        <w:noProof/>
        <w:color w:val="777777"/>
        <w:sz w:val="15"/>
        <w:szCs w:val="15"/>
      </w:rPr>
      <w:t>11</w:t>
    </w:r>
    <w:r>
      <w:rPr>
        <w:color w:val="777777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center"/>
    </w:pPr>
    <w:r>
      <w:rPr>
        <w:color w:val="777777"/>
        <w:sz w:val="15"/>
        <w:szCs w:val="15"/>
      </w:rPr>
      <w:t xml:space="preserve">Vital Security PLC — Confidential   |   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6C5C4A">
      <w:rPr>
        <w:noProof/>
        <w:color w:val="777777"/>
        <w:sz w:val="15"/>
        <w:szCs w:val="15"/>
      </w:rPr>
      <w:t>5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6C5C4A">
      <w:rPr>
        <w:noProof/>
        <w:color w:val="777777"/>
        <w:sz w:val="15"/>
        <w:szCs w:val="15"/>
      </w:rPr>
      <w:t>11</w:t>
    </w:r>
    <w:r>
      <w:rPr>
        <w:color w:val="777777"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center"/>
    </w:pPr>
    <w:r>
      <w:rPr>
        <w:color w:val="777777"/>
        <w:sz w:val="15"/>
        <w:szCs w:val="15"/>
      </w:rPr>
      <w:t xml:space="preserve">Vital Security PLC — Confidential   |   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6C5C4A">
      <w:rPr>
        <w:noProof/>
        <w:color w:val="777777"/>
        <w:sz w:val="15"/>
        <w:szCs w:val="15"/>
      </w:rPr>
      <w:t>7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6C5C4A">
      <w:rPr>
        <w:noProof/>
        <w:color w:val="777777"/>
        <w:sz w:val="15"/>
        <w:szCs w:val="15"/>
      </w:rPr>
      <w:t>11</w:t>
    </w:r>
    <w:r>
      <w:rPr>
        <w:color w:val="777777"/>
        <w:sz w:val="15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center"/>
    </w:pPr>
    <w:r>
      <w:rPr>
        <w:color w:val="777777"/>
        <w:sz w:val="15"/>
        <w:szCs w:val="15"/>
      </w:rPr>
      <w:t xml:space="preserve">Vital Security PLC — Confidential   |   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03144F">
      <w:rPr>
        <w:noProof/>
        <w:color w:val="777777"/>
        <w:sz w:val="15"/>
        <w:szCs w:val="15"/>
      </w:rPr>
      <w:t>8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03144F">
      <w:rPr>
        <w:noProof/>
        <w:color w:val="777777"/>
        <w:sz w:val="15"/>
        <w:szCs w:val="15"/>
      </w:rPr>
      <w:t>11</w:t>
    </w:r>
    <w:r>
      <w:rPr>
        <w:color w:val="777777"/>
        <w:sz w:val="15"/>
        <w:szCs w:val="15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center"/>
    </w:pPr>
    <w:r>
      <w:rPr>
        <w:color w:val="777777"/>
        <w:sz w:val="15"/>
        <w:szCs w:val="15"/>
      </w:rPr>
      <w:t xml:space="preserve">Vital Security PLC — Confidential   |   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6C5C4A">
      <w:rPr>
        <w:noProof/>
        <w:color w:val="777777"/>
        <w:sz w:val="15"/>
        <w:szCs w:val="15"/>
      </w:rPr>
      <w:t>10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6C5C4A">
      <w:rPr>
        <w:noProof/>
        <w:color w:val="777777"/>
        <w:sz w:val="15"/>
        <w:szCs w:val="15"/>
      </w:rPr>
      <w:t>11</w:t>
    </w:r>
    <w:r>
      <w:rPr>
        <w:color w:val="777777"/>
        <w:sz w:val="15"/>
        <w:szCs w:val="15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center"/>
    </w:pPr>
    <w:r>
      <w:rPr>
        <w:color w:val="777777"/>
        <w:sz w:val="15"/>
        <w:szCs w:val="15"/>
      </w:rPr>
      <w:t xml:space="preserve">Vital Security PLC — Confidential   |   Page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PAGE</w:instrText>
    </w:r>
    <w:r>
      <w:rPr>
        <w:color w:val="777777"/>
        <w:sz w:val="15"/>
        <w:szCs w:val="15"/>
      </w:rPr>
      <w:fldChar w:fldCharType="separate"/>
    </w:r>
    <w:r w:rsidR="006C5C4A">
      <w:rPr>
        <w:noProof/>
        <w:color w:val="777777"/>
        <w:sz w:val="15"/>
        <w:szCs w:val="15"/>
      </w:rPr>
      <w:t>11</w:t>
    </w:r>
    <w:r>
      <w:rPr>
        <w:color w:val="777777"/>
        <w:sz w:val="15"/>
        <w:szCs w:val="15"/>
      </w:rPr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</w:r>
    <w:r>
      <w:rPr>
        <w:color w:val="777777"/>
        <w:sz w:val="15"/>
        <w:szCs w:val="15"/>
      </w:rPr>
      <w:instrText>NUMPAGES</w:instrText>
    </w:r>
    <w:r>
      <w:rPr>
        <w:color w:val="777777"/>
        <w:sz w:val="15"/>
        <w:szCs w:val="15"/>
      </w:rPr>
      <w:fldChar w:fldCharType="separate"/>
    </w:r>
    <w:r w:rsidR="006C5C4A">
      <w:rPr>
        <w:noProof/>
        <w:color w:val="777777"/>
        <w:sz w:val="15"/>
        <w:szCs w:val="15"/>
      </w:rPr>
      <w:t>11</w:t>
    </w:r>
    <w:r>
      <w:rPr>
        <w:color w:val="777777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0D0D" w:rsidRDefault="00980D0D">
      <w:r>
        <w:separator/>
      </w:r>
    </w:p>
  </w:footnote>
  <w:footnote w:type="continuationSeparator" w:id="0">
    <w:p w:rsidR="00980D0D" w:rsidRDefault="00980D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right"/>
    </w:pPr>
    <w:r>
      <w:rPr>
        <w:color w:val="999999"/>
        <w:sz w:val="15"/>
        <w:szCs w:val="15"/>
      </w:rPr>
      <w:t>Workflow and Role Structure — v1.1 Update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right"/>
    </w:pPr>
    <w:r>
      <w:rPr>
        <w:color w:val="999999"/>
        <w:sz w:val="15"/>
        <w:szCs w:val="15"/>
      </w:rPr>
      <w:t>Workflow and Role Structure — v1.1 Update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right"/>
    </w:pPr>
    <w:r>
      <w:rPr>
        <w:color w:val="999999"/>
        <w:sz w:val="15"/>
        <w:szCs w:val="15"/>
      </w:rPr>
      <w:t>Workflow and Role Structure — v1.1 Update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right"/>
    </w:pPr>
    <w:r>
      <w:rPr>
        <w:color w:val="999999"/>
        <w:sz w:val="15"/>
        <w:szCs w:val="15"/>
      </w:rPr>
      <w:t>Workflow and Role Structure — v1.1 Update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right"/>
    </w:pPr>
    <w:r>
      <w:rPr>
        <w:color w:val="999999"/>
        <w:sz w:val="15"/>
        <w:szCs w:val="15"/>
      </w:rPr>
      <w:t>Workflow and Role Structure — v1.1 Update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right"/>
    </w:pPr>
    <w:r>
      <w:rPr>
        <w:color w:val="999999"/>
        <w:sz w:val="15"/>
        <w:szCs w:val="15"/>
      </w:rPr>
      <w:t>Workflow and Role Structure — v1.1 Update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1504" w:rsidRDefault="00980D0D">
    <w:pPr>
      <w:jc w:val="right"/>
    </w:pPr>
    <w:r>
      <w:rPr>
        <w:color w:val="999999"/>
        <w:sz w:val="15"/>
        <w:szCs w:val="15"/>
      </w:rPr>
      <w:t>Workflow and Role Structure — v1.1 Update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E1CB5"/>
    <w:multiLevelType w:val="hybridMultilevel"/>
    <w:tmpl w:val="FF388C96"/>
    <w:lvl w:ilvl="0" w:tplc="DA3E1EAE">
      <w:start w:val="1"/>
      <w:numFmt w:val="bullet"/>
      <w:lvlText w:val="●"/>
      <w:lvlJc w:val="left"/>
      <w:pPr>
        <w:ind w:left="720" w:hanging="360"/>
      </w:pPr>
    </w:lvl>
    <w:lvl w:ilvl="1" w:tplc="56CA0E92">
      <w:start w:val="1"/>
      <w:numFmt w:val="bullet"/>
      <w:lvlText w:val="○"/>
      <w:lvlJc w:val="left"/>
      <w:pPr>
        <w:ind w:left="1440" w:hanging="360"/>
      </w:pPr>
    </w:lvl>
    <w:lvl w:ilvl="2" w:tplc="66400C4E">
      <w:start w:val="1"/>
      <w:numFmt w:val="bullet"/>
      <w:lvlText w:val="■"/>
      <w:lvlJc w:val="left"/>
      <w:pPr>
        <w:ind w:left="2160" w:hanging="360"/>
      </w:pPr>
    </w:lvl>
    <w:lvl w:ilvl="3" w:tplc="7AE2BCFE">
      <w:start w:val="1"/>
      <w:numFmt w:val="bullet"/>
      <w:lvlText w:val="●"/>
      <w:lvlJc w:val="left"/>
      <w:pPr>
        <w:ind w:left="2880" w:hanging="360"/>
      </w:pPr>
    </w:lvl>
    <w:lvl w:ilvl="4" w:tplc="F97E19BC">
      <w:start w:val="1"/>
      <w:numFmt w:val="bullet"/>
      <w:lvlText w:val="○"/>
      <w:lvlJc w:val="left"/>
      <w:pPr>
        <w:ind w:left="3600" w:hanging="360"/>
      </w:pPr>
    </w:lvl>
    <w:lvl w:ilvl="5" w:tplc="B362350A">
      <w:start w:val="1"/>
      <w:numFmt w:val="bullet"/>
      <w:lvlText w:val="■"/>
      <w:lvlJc w:val="left"/>
      <w:pPr>
        <w:ind w:left="4320" w:hanging="360"/>
      </w:pPr>
    </w:lvl>
    <w:lvl w:ilvl="6" w:tplc="0D42E586">
      <w:start w:val="1"/>
      <w:numFmt w:val="bullet"/>
      <w:lvlText w:val="●"/>
      <w:lvlJc w:val="left"/>
      <w:pPr>
        <w:ind w:left="5040" w:hanging="360"/>
      </w:pPr>
    </w:lvl>
    <w:lvl w:ilvl="7" w:tplc="E77035D2">
      <w:start w:val="1"/>
      <w:numFmt w:val="bullet"/>
      <w:lvlText w:val="●"/>
      <w:lvlJc w:val="left"/>
      <w:pPr>
        <w:ind w:left="5760" w:hanging="360"/>
      </w:pPr>
    </w:lvl>
    <w:lvl w:ilvl="8" w:tplc="241EF27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1504"/>
    <w:rsid w:val="0003144F"/>
    <w:rsid w:val="000966CA"/>
    <w:rsid w:val="00157060"/>
    <w:rsid w:val="003A7FDA"/>
    <w:rsid w:val="0059393E"/>
    <w:rsid w:val="006C5C4A"/>
    <w:rsid w:val="007F155B"/>
    <w:rsid w:val="00980D0D"/>
    <w:rsid w:val="00A95CD7"/>
    <w:rsid w:val="00B67EF0"/>
    <w:rsid w:val="00C8497B"/>
    <w:rsid w:val="00C90F10"/>
    <w:rsid w:val="00CC7111"/>
    <w:rsid w:val="00CF1504"/>
    <w:rsid w:val="00F95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7246"/>
  <w15:docId w15:val="{235A87F1-6668-4D41-A043-91BDD4AF9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5D66"/>
  </w:style>
  <w:style w:type="paragraph" w:styleId="Heading1">
    <w:name w:val="heading 1"/>
    <w:link w:val="Heading1Char"/>
    <w:qFormat/>
    <w:pPr>
      <w:pBdr>
        <w:bottom w:val="single" w:sz="8" w:space="4" w:color="C9A227"/>
      </w:pBdr>
      <w:spacing w:before="280" w:after="180"/>
      <w:outlineLvl w:val="0"/>
    </w:pPr>
    <w:rPr>
      <w:b/>
      <w:bCs/>
      <w:color w:val="1B2A4A"/>
      <w:sz w:val="30"/>
      <w:szCs w:val="30"/>
    </w:rPr>
  </w:style>
  <w:style w:type="paragraph" w:styleId="Heading2">
    <w:name w:val="heading 2"/>
    <w:link w:val="Heading2Char"/>
    <w:qFormat/>
    <w:pPr>
      <w:spacing w:before="240" w:after="130"/>
      <w:outlineLvl w:val="1"/>
    </w:pPr>
    <w:rPr>
      <w:b/>
      <w:bCs/>
      <w:color w:val="1B2A4A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F15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F155B"/>
    <w:pPr>
      <w:spacing w:after="100"/>
      <w:ind w:left="210"/>
    </w:pPr>
  </w:style>
  <w:style w:type="character" w:customStyle="1" w:styleId="Heading1Char">
    <w:name w:val="Heading 1 Char"/>
    <w:basedOn w:val="DefaultParagraphFont"/>
    <w:link w:val="Heading1"/>
    <w:rsid w:val="00F95D66"/>
    <w:rPr>
      <w:b/>
      <w:bCs/>
      <w:color w:val="1B2A4A"/>
      <w:sz w:val="30"/>
      <w:szCs w:val="30"/>
    </w:rPr>
  </w:style>
  <w:style w:type="character" w:customStyle="1" w:styleId="Heading2Char">
    <w:name w:val="Heading 2 Char"/>
    <w:basedOn w:val="DefaultParagraphFont"/>
    <w:link w:val="Heading2"/>
    <w:rsid w:val="00F95D66"/>
    <w:rPr>
      <w:b/>
      <w:bCs/>
      <w:color w:val="1B2A4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0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header" Target="header4.xml"/><Relationship Id="rId26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6.png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8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footer" Target="footer5.xml"/><Relationship Id="rId28" Type="http://schemas.openxmlformats.org/officeDocument/2006/relationships/header" Target="header7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header" Target="header5.xml"/><Relationship Id="rId27" Type="http://schemas.openxmlformats.org/officeDocument/2006/relationships/footer" Target="footer6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1667</Words>
  <Characters>9507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Workflow and Role Structure Update</vt:lpstr>
    </vt:vector>
  </TitlesOfParts>
  <Company/>
  <LinksUpToDate>false</LinksUpToDate>
  <CharactersWithSpaces>11152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Workflow and Role Structure Update</dc:title>
  <dc:creator>Vital Security PLC</dc:creator>
  <cp:lastModifiedBy>Kal</cp:lastModifiedBy>
  <cp:revision>2</cp:revision>
  <dcterms:created xsi:type="dcterms:W3CDTF">2026-08-21T10:07:00Z</dcterms:created>
  <dcterms:modified xsi:type="dcterms:W3CDTF">2026-08-21T10:07:00Z</dcterms:modified>
</cp:coreProperties>
</file>