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b/>
          <w:bCs/>
          <w:color w:val="B08944"/>
          <w:spacing w:val="40"/>
          <w:sz w:val="28"/>
          <w:szCs w:val="28"/>
        </w:rPr>
        <w:t xml:space="preserve">BUSINESS PLAN</w:t>
      </w:r>
    </w:p>
    <w:p>
      <w:pPr>
        <w:spacing w:after="80" w:before="200"/>
        <w:jc w:val="center"/>
      </w:pPr>
      <w:r>
        <w:rPr>
          <w:b/>
          <w:bCs/>
          <w:color w:val="1F3B33"/>
          <w:sz w:val="64"/>
          <w:szCs w:val="64"/>
        </w:rPr>
        <w:t xml:space="preserve">Souk Al-Bunn</w:t>
      </w:r>
    </w:p>
    <w:p>
      <w:pPr>
        <w:spacing w:after="600"/>
        <w:jc w:val="center"/>
      </w:pPr>
      <w:r>
        <w:rPr>
          <w:i/>
          <w:iCs/>
          <w:color w:val="5B5B5B"/>
          <w:sz w:val="24"/>
          <w:szCs w:val="24"/>
        </w:rPr>
        <w:t xml:space="preserve">A Curated Online Marketplace for Specialty Coffee Beans — UAE</w:t>
      </w:r>
    </w:p>
    <w:p>
      <w:pPr>
        <w:spacing w:before="1400"/>
        <w:jc w:val="center"/>
      </w:pPr>
      <w:r>
        <w:rPr>
          <w:color w:val="5B5B5B"/>
          <w:sz w:val="20"/>
          <w:szCs w:val="20"/>
        </w:rPr>
        <w:t xml:space="preserve">Prepared August 2026</w:t>
      </w:r>
    </w:p>
    <w:p>
      <w:pPr>
        <w:spacing w:before="80"/>
        <w:jc w:val="center"/>
      </w:pPr>
      <w:r>
        <w:rPr>
          <w:i/>
          <w:iCs/>
          <w:color w:val="5B5B5B"/>
          <w:sz w:val="18"/>
          <w:szCs w:val="18"/>
        </w:rPr>
        <w:t xml:space="preserve">Draft — for founder review</w:t>
      </w:r>
    </w:p>
    <w:p>
      <w:r>
        <w:br w:type="page"/>
      </w:r>
    </w:p>
    <w:p>
      <w:pPr>
        <w:pStyle w:val="Heading1"/>
        <w:pBdr>
          <w:bottom w:val="single" w:color="B08944" w:sz="6" w:space="4"/>
        </w:pBdr>
        <w:spacing w:after="200" w:before="400"/>
      </w:pPr>
      <w:r>
        <w:rPr>
          <w:b/>
          <w:bCs/>
          <w:color w:val="1F3B33"/>
          <w:sz w:val="30"/>
          <w:szCs w:val="30"/>
        </w:rPr>
        <w:t xml:space="preserve">1. Executive Summary</w:t>
      </w:r>
    </w:p>
    <w:p>
      <w:pPr>
        <w:spacing w:after="160" w:line="300"/>
      </w:pPr>
      <w:r>
        <w:rPr>
          <w:color w:val="222222"/>
          <w:sz w:val="21"/>
          <w:szCs w:val="21"/>
        </w:rPr>
        <w:t xml:space="preserve">Souk Al-Bunn (working name — Arabic for “the coffee bean market”; replace once a final brand is chosen) is an online marketplace that curates and resells specialty coffee beans from independent roasters across the UAE. Rather than roasting its own coffee, the business buys wholesale (or sells on consignment) from a growing roster of local roasters, lists their beans side by side on a single bilingual (English/Arabic) storefront, and ships every order from one warehouse — so a customer mixing beans from three different roasters still gets one delivery.</w:t>
      </w:r>
    </w:p>
    <w:p>
      <w:pPr>
        <w:spacing w:after="160" w:line="300"/>
      </w:pPr>
      <w:r>
        <w:rPr>
          <w:color w:val="222222"/>
          <w:sz w:val="21"/>
          <w:szCs w:val="21"/>
        </w:rPr>
        <w:t xml:space="preserve">This model — closer to Trade Coffee (US) or Spresso (UAE) than to a single-brand roastery — trades manufacturing complexity (no roasting equipment, no house recipe risk) for curation and logistics as the core skill. The differentiator is comparison: every bean is placed on the same roast-degree scale with consistent tasting notes and pricing, so customers pick by taste rather than by which roaster has the best Instagram.</w:t>
      </w:r>
    </w:p>
    <w:p>
      <w:pPr>
        <w:spacing w:after="160" w:line="300"/>
      </w:pPr>
      <w:r>
        <w:rPr>
          <w:color w:val="222222"/>
          <w:sz w:val="21"/>
          <w:szCs w:val="21"/>
        </w:rPr>
        <w:t xml:space="preserve">The plan below is written in three budget tiers — Lean (under AED 20,000), Moderate (AED 20,000–90,000), and Growth (AED 90,000–350,000) — since the exact starting capital wasn't fixed yet. Start at the tier that matches available cash; treat the next tier up as the 12–18 month target once demand is validated.</w:t>
      </w:r>
    </w:p>
    <w:p>
      <w:pPr>
        <w:pStyle w:val="Heading1"/>
        <w:pBdr>
          <w:bottom w:val="single" w:color="B08944" w:sz="6" w:space="4"/>
        </w:pBdr>
        <w:spacing w:after="200" w:before="400"/>
      </w:pPr>
      <w:r>
        <w:rPr>
          <w:b/>
          <w:bCs/>
          <w:color w:val="1F3B33"/>
          <w:sz w:val="30"/>
          <w:szCs w:val="30"/>
        </w:rPr>
        <w:t xml:space="preserve">2. Business Description</w:t>
      </w:r>
    </w:p>
    <w:p>
      <w:pPr>
        <w:pStyle w:val="Heading2"/>
        <w:spacing w:after="120" w:before="280"/>
      </w:pPr>
      <w:r>
        <w:rPr>
          <w:b/>
          <w:bCs/>
          <w:color w:val="1F3B33"/>
          <w:sz w:val="24"/>
          <w:szCs w:val="24"/>
        </w:rPr>
        <w:t xml:space="preserve">2.1 Mission</w:t>
      </w:r>
    </w:p>
    <w:p>
      <w:pPr>
        <w:spacing w:after="160" w:line="300"/>
      </w:pPr>
      <w:r>
        <w:rPr>
          <w:color w:val="222222"/>
          <w:sz w:val="21"/>
          <w:szCs w:val="21"/>
        </w:rPr>
        <w:t xml:space="preserve">Make it easy to find specialty coffee worth reordering — by putting every independent UAE roaster's beans in one place, organized by roast and flavor instead of by brand, with one fast checkout.</w:t>
      </w:r>
    </w:p>
    <w:p>
      <w:pPr>
        <w:pStyle w:val="Heading2"/>
        <w:spacing w:after="120" w:before="280"/>
      </w:pPr>
      <w:r>
        <w:rPr>
          <w:b/>
          <w:bCs/>
          <w:color w:val="1F3B33"/>
          <w:sz w:val="24"/>
          <w:szCs w:val="24"/>
        </w:rPr>
        <w:t xml:space="preserve">2.2 Legal &amp; regulatory basics (UAE)</w:t>
      </w:r>
    </w:p>
    <w:p>
      <w:pPr>
        <w:spacing w:after="80"/>
      </w:pPr>
      <w:r>
        <w:rPr>
          <w:b/>
          <w:bCs/>
          <w:color w:val="1F3B33"/>
          <w:sz w:val="21"/>
          <w:szCs w:val="21"/>
        </w:rPr>
        <w:t xml:space="preserve">Recommended structure: </w:t>
      </w:r>
      <w:r>
        <w:rPr>
          <w:sz w:val="21"/>
          <w:szCs w:val="21"/>
        </w:rPr>
        <w:t xml:space="preserve">a mainland LLC or free-zone e-commerce license (e.g. IFZA, DED e-trader for a very early solo stage) — a free-zone e-commerce license is usually the fastest and cheapest way to start legally.</w:t>
      </w:r>
    </w:p>
    <w:p>
      <w:pPr>
        <w:pStyle w:val="ListParagraph"/>
        <w:numPr>
          <w:ilvl w:val="0"/>
          <w:numId w:val="2"/>
        </w:numPr>
        <w:spacing w:after="80" w:line="280"/>
      </w:pPr>
      <w:r>
        <w:rPr>
          <w:color w:val="222222"/>
          <w:sz w:val="21"/>
          <w:szCs w:val="21"/>
        </w:rPr>
        <w:t xml:space="preserve">Register for VAT once turnover crosses the mandatory threshold (currently AED 375,000/year) — voluntary registration is possible earlier and lets the business reclaim input VAT on stock purchases.</w:t>
      </w:r>
    </w:p>
    <w:p>
      <w:pPr>
        <w:pStyle w:val="ListParagraph"/>
        <w:numPr>
          <w:ilvl w:val="0"/>
          <w:numId w:val="2"/>
        </w:numPr>
        <w:spacing w:after="80" w:line="280"/>
      </w:pPr>
      <w:r>
        <w:rPr>
          <w:color w:val="222222"/>
          <w:sz w:val="21"/>
          <w:szCs w:val="21"/>
        </w:rPr>
        <w:t xml:space="preserve">Food import/resale of packaged coffee generally falls under municipality food-trade rules (e.g. Dubai Municipality food code) — confirm labeling (roast date, allergen, weight) and storage requirements before listing products.</w:t>
      </w:r>
    </w:p>
    <w:p>
      <w:pPr>
        <w:pStyle w:val="ListParagraph"/>
        <w:numPr>
          <w:ilvl w:val="0"/>
          <w:numId w:val="2"/>
        </w:numPr>
        <w:spacing w:after="80" w:line="280"/>
      </w:pPr>
      <w:r>
        <w:rPr>
          <w:color w:val="222222"/>
          <w:sz w:val="21"/>
          <w:szCs w:val="21"/>
        </w:rPr>
        <w:t xml:space="preserve">Draft simple consignment or wholesale-purchase agreements with each roaster up front: who owns the stock until it sells, who eats spoilage/returns, and payment terms (net-30 is standard).</w:t>
      </w:r>
    </w:p>
    <w:p>
      <w:pPr>
        <w:pStyle w:val="Heading1"/>
        <w:pBdr>
          <w:bottom w:val="single" w:color="B08944" w:sz="6" w:space="4"/>
        </w:pBdr>
        <w:spacing w:after="200" w:before="400"/>
      </w:pPr>
      <w:r>
        <w:rPr>
          <w:b/>
          <w:bCs/>
          <w:color w:val="1F3B33"/>
          <w:sz w:val="30"/>
          <w:szCs w:val="30"/>
        </w:rPr>
        <w:t xml:space="preserve">3. Products &amp; Services</w:t>
      </w:r>
    </w:p>
    <w:p>
      <w:pPr>
        <w:pStyle w:val="Heading2"/>
        <w:spacing w:after="120" w:before="280"/>
      </w:pPr>
      <w:r>
        <w:rPr>
          <w:b/>
          <w:bCs/>
          <w:color w:val="1F3B33"/>
          <w:sz w:val="24"/>
          <w:szCs w:val="24"/>
        </w:rPr>
        <w:t xml:space="preserve">3.1 The core catalog — beans, not equipment</w:t>
      </w:r>
    </w:p>
    <w:p>
      <w:pPr>
        <w:pStyle w:val="ListParagraph"/>
        <w:numPr>
          <w:ilvl w:val="0"/>
          <w:numId w:val="2"/>
        </w:numPr>
        <w:spacing w:after="80" w:line="280"/>
      </w:pPr>
      <w:r>
        <w:rPr>
          <w:color w:val="222222"/>
          <w:sz w:val="21"/>
          <w:szCs w:val="21"/>
        </w:rPr>
        <w:t xml:space="preserve">6–15 SKUs at launch: one flagship bag per partner roaster, spanning light to dark roast, so the catalog reads as a spectrum rather than a wall of near-duplicate options.</w:t>
      </w:r>
    </w:p>
    <w:p>
      <w:pPr>
        <w:pStyle w:val="ListParagraph"/>
        <w:numPr>
          <w:ilvl w:val="0"/>
          <w:numId w:val="2"/>
        </w:numPr>
        <w:spacing w:after="80" w:line="280"/>
      </w:pPr>
      <w:r>
        <w:rPr>
          <w:color w:val="222222"/>
          <w:sz w:val="21"/>
          <w:szCs w:val="21"/>
        </w:rPr>
        <w:t xml:space="preserve">Every listing carries: roaster name, origin, roast level, process (washed/natural/honey), tasting notes, and a plain-language brew recommendation.</w:t>
      </w:r>
    </w:p>
    <w:p>
      <w:pPr>
        <w:pStyle w:val="ListParagraph"/>
        <w:numPr>
          <w:ilvl w:val="0"/>
          <w:numId w:val="2"/>
        </w:numPr>
        <w:spacing w:after="80" w:line="280"/>
      </w:pPr>
      <w:r>
        <w:rPr>
          <w:color w:val="222222"/>
          <w:sz w:val="21"/>
          <w:szCs w:val="21"/>
        </w:rPr>
        <w:t xml:space="preserve">250g bags as the standard format (matches regional buying habits and keeps per-order shipping weight low); larger 1kg formats offered for repeat buyers once demand is proven.</w:t>
      </w:r>
    </w:p>
    <w:p>
      <w:pPr>
        <w:pStyle w:val="Heading2"/>
        <w:spacing w:after="120" w:before="280"/>
      </w:pPr>
      <w:r>
        <w:rPr>
          <w:b/>
          <w:bCs/>
          <w:color w:val="1F3B33"/>
          <w:sz w:val="24"/>
          <w:szCs w:val="24"/>
        </w:rPr>
        <w:t xml:space="preserve">3.2 The roast line — the comparison tool, not a gimmick</w:t>
      </w:r>
    </w:p>
    <w:p>
      <w:pPr>
        <w:spacing w:after="160" w:line="300"/>
      </w:pPr>
      <w:r>
        <w:rPr>
          <w:color w:val="222222"/>
          <w:sz w:val="21"/>
          <w:szCs w:val="21"/>
        </w:rPr>
        <w:t xml:space="preserve">Every bean is plotted on one light-to-dark roast scale regardless of which roaster made it. This is the site's actual value proposition: a customer who liked a light-roast Ethiopian from one roaster can find the next-closest option from a different roaster without having to taste-test blind. This becomes the main on-site discovery mechanism instead of a generic category filter.</w:t>
      </w:r>
    </w:p>
    <w:p>
      <w:pPr>
        <w:pStyle w:val="Heading2"/>
        <w:spacing w:after="120" w:before="280"/>
      </w:pPr>
      <w:r>
        <w:rPr>
          <w:b/>
          <w:bCs/>
          <w:color w:val="1F3B33"/>
          <w:sz w:val="24"/>
          <w:szCs w:val="24"/>
        </w:rPr>
        <w:t xml:space="preserve">3.3 Discovery bundles</w:t>
      </w:r>
    </w:p>
    <w:p>
      <w:pPr>
        <w:spacing w:after="160" w:line="300"/>
      </w:pPr>
      <w:r>
        <w:rPr>
          <w:color w:val="222222"/>
          <w:sz w:val="21"/>
          <w:szCs w:val="21"/>
        </w:rPr>
        <w:t xml:space="preserve">A 3-bag “Discovery Sampler” (one light, one medium, one dark, from three different roasters, ~100g each) is the primary new-customer offer — low commitment, immediately demonstrates the comparison value, and converts into full-size repeat orders.</w:t>
      </w:r>
    </w:p>
    <w:p>
      <w:pPr>
        <w:pStyle w:val="Heading2"/>
        <w:spacing w:after="120" w:before="280"/>
      </w:pPr>
      <w:r>
        <w:rPr>
          <w:b/>
          <w:bCs/>
          <w:color w:val="1F3B33"/>
          <w:sz w:val="24"/>
          <w:szCs w:val="24"/>
        </w:rPr>
        <w:t xml:space="preserve">3.4 Deliberately out of scope at launch</w:t>
      </w:r>
    </w:p>
    <w:p>
      <w:pPr>
        <w:pStyle w:val="ListParagraph"/>
        <w:numPr>
          <w:ilvl w:val="0"/>
          <w:numId w:val="2"/>
        </w:numPr>
        <w:spacing w:after="80" w:line="280"/>
      </w:pPr>
      <w:r>
        <w:rPr>
          <w:color w:val="222222"/>
          <w:sz w:val="21"/>
          <w:szCs w:val="21"/>
        </w:rPr>
        <w:t xml:space="preserve">No house-roasted blend — avoids roasting equipment, food-safety-for-manufacturing complexity, and recipe risk in year one.</w:t>
      </w:r>
    </w:p>
    <w:p>
      <w:pPr>
        <w:pStyle w:val="ListParagraph"/>
        <w:numPr>
          <w:ilvl w:val="0"/>
          <w:numId w:val="2"/>
        </w:numPr>
        <w:spacing w:after="80" w:line="280"/>
      </w:pPr>
      <w:r>
        <w:rPr>
          <w:color w:val="222222"/>
          <w:sz w:val="21"/>
          <w:szCs w:val="21"/>
        </w:rPr>
        <w:t xml:space="preserve">No brewing equipment/essentials line — keeps inventory and supplier relationships simple; can be revisited later as an affiliate/drop-ship add-on, not a stocked category.</w:t>
      </w:r>
    </w:p>
    <w:p>
      <w:pPr>
        <w:pStyle w:val="ListParagraph"/>
        <w:numPr>
          <w:ilvl w:val="0"/>
          <w:numId w:val="2"/>
        </w:numPr>
        <w:spacing w:after="80" w:line="280"/>
      </w:pPr>
      <w:r>
        <w:rPr>
          <w:color w:val="222222"/>
          <w:sz w:val="21"/>
          <w:szCs w:val="21"/>
        </w:rPr>
        <w:t xml:space="preserve">No subscription mechanic at launch, by design — the storefront is one-off purchase only; subscriptions can be layered on later once repeat-purchase behavior is visible in the data.</w:t>
      </w:r>
    </w:p>
    <w:p>
      <w:pPr>
        <w:pStyle w:val="Heading1"/>
        <w:pBdr>
          <w:bottom w:val="single" w:color="B08944" w:sz="6" w:space="4"/>
        </w:pBdr>
        <w:spacing w:after="200" w:before="400"/>
      </w:pPr>
      <w:r>
        <w:rPr>
          <w:b/>
          <w:bCs/>
          <w:color w:val="1F3B33"/>
          <w:sz w:val="30"/>
          <w:szCs w:val="30"/>
        </w:rPr>
        <w:t xml:space="preserve">4. Market Analysis</w:t>
      </w:r>
    </w:p>
    <w:p>
      <w:pPr>
        <w:pStyle w:val="Heading2"/>
        <w:spacing w:after="120" w:before="280"/>
      </w:pPr>
      <w:r>
        <w:rPr>
          <w:b/>
          <w:bCs/>
          <w:color w:val="1F3B33"/>
          <w:sz w:val="24"/>
          <w:szCs w:val="24"/>
        </w:rPr>
        <w:t xml:space="preserve">4.1 Industry context — UAE</w:t>
      </w:r>
    </w:p>
    <w:p>
      <w:pPr>
        <w:spacing w:after="160" w:line="300"/>
      </w:pPr>
      <w:r>
        <w:rPr>
          <w:color w:val="222222"/>
          <w:sz w:val="21"/>
          <w:szCs w:val="21"/>
        </w:rPr>
        <w:t xml:space="preserve">The UAE has a dense, fast-growing specialty coffee scene concentrated in Dubai and Abu Dhabi, with dozens of independent roasters that mostly sell direct through their own small sites or cafe counters. That fragmentation is the opening: no dominant single destination exists yet for comparing beans across roasters the way multi-brand marketplaces do in more mature markets.</w:t>
      </w:r>
    </w:p>
    <w:p>
      <w:pPr>
        <w:pStyle w:val="Heading2"/>
        <w:spacing w:after="120" w:before="280"/>
      </w:pPr>
      <w:r>
        <w:rPr>
          <w:b/>
          <w:bCs/>
          <w:color w:val="1F3B33"/>
          <w:sz w:val="24"/>
          <w:szCs w:val="24"/>
        </w:rPr>
        <w:t xml:space="preserve">4.2 Target customer</w:t>
      </w:r>
    </w:p>
    <w:p>
      <w:pPr>
        <w:pStyle w:val="ListParagraph"/>
        <w:numPr>
          <w:ilvl w:val="0"/>
          <w:numId w:val="2"/>
        </w:numPr>
        <w:spacing w:after="80" w:line="280"/>
      </w:pPr>
      <w:r>
        <w:rPr>
          <w:color w:val="222222"/>
          <w:sz w:val="21"/>
          <w:szCs w:val="21"/>
        </w:rPr>
        <w:t xml:space="preserve">Primary: residents (largely expatriate, 25–45) already buying specialty beans online who are currently juggling multiple roasters' individual sites and shipping fees.</w:t>
      </w:r>
    </w:p>
    <w:p>
      <w:pPr>
        <w:pStyle w:val="ListParagraph"/>
        <w:numPr>
          <w:ilvl w:val="0"/>
          <w:numId w:val="2"/>
        </w:numPr>
        <w:spacing w:after="80" w:line="280"/>
      </w:pPr>
      <w:r>
        <w:rPr>
          <w:color w:val="222222"/>
          <w:sz w:val="21"/>
          <w:szCs w:val="21"/>
        </w:rPr>
        <w:t xml:space="preserve">Secondary: newcomers to specialty coffee who want a low-risk way to explore local roasters without committing to a full bag from each — the Discovery Sampler is built for this segment.</w:t>
      </w:r>
    </w:p>
    <w:p>
      <w:pPr>
        <w:pStyle w:val="ListParagraph"/>
        <w:numPr>
          <w:ilvl w:val="0"/>
          <w:numId w:val="2"/>
        </w:numPr>
        <w:spacing w:after="80" w:line="280"/>
      </w:pPr>
      <w:r>
        <w:rPr>
          <w:color w:val="222222"/>
          <w:sz w:val="21"/>
          <w:szCs w:val="21"/>
        </w:rPr>
        <w:t xml:space="preserve">Tertiary (later): small offices, hotels and cafes wanting a single vendor and invoice for beans sourced from several roasters — a natural B2B extension once the consumer catalog and logistics are proven.</w:t>
      </w:r>
    </w:p>
    <w:p>
      <w:pPr>
        <w:pStyle w:val="Heading2"/>
        <w:spacing w:after="120" w:before="280"/>
      </w:pPr>
      <w:r>
        <w:rPr>
          <w:b/>
          <w:bCs/>
          <w:color w:val="1F3B33"/>
          <w:sz w:val="24"/>
          <w:szCs w:val="24"/>
        </w:rPr>
        <w:t xml:space="preserve">4.3 Competitive landscape</w:t>
      </w:r>
    </w:p>
    <w:p>
      <w:pPr>
        <w:spacing w:after="160" w:line="300"/>
      </w:pPr>
      <w:r>
        <w:rPr>
          <w:color w:val="222222"/>
          <w:sz w:val="21"/>
          <w:szCs w:val="21"/>
        </w:rPr>
        <w:t xml:space="preserve">Direct competitors are other UAE multi-roaster marketplaces (e.g. Spresso) plus each individual roaster's own online store. Differentiation has to come from curation quality (the roast-line comparison), delivery speed/reliability, and a genuinely bilingual experience — not from being the only aggregator, since it likely won't be. Being explicitly easier to use in Arabic, with AED pricing and local delivery expectations set correctly, is a real, achievable edge against roasters whose own sites are English-only.</w:t>
      </w:r>
    </w:p>
    <w:p>
      <w:pPr>
        <w:pStyle w:val="Heading1"/>
        <w:pBdr>
          <w:bottom w:val="single" w:color="B08944" w:sz="6" w:space="4"/>
        </w:pBdr>
        <w:spacing w:after="200" w:before="400"/>
      </w:pPr>
      <w:r>
        <w:rPr>
          <w:b/>
          <w:bCs/>
          <w:color w:val="1F3B33"/>
          <w:sz w:val="30"/>
          <w:szCs w:val="30"/>
        </w:rPr>
        <w:t xml:space="preserve">5. Marketing &amp; Sales Strategy</w:t>
      </w:r>
    </w:p>
    <w:p>
      <w:pPr>
        <w:pStyle w:val="Heading2"/>
        <w:spacing w:after="120" w:before="280"/>
      </w:pPr>
      <w:r>
        <w:rPr>
          <w:b/>
          <w:bCs/>
          <w:color w:val="1F3B33"/>
          <w:sz w:val="24"/>
          <w:szCs w:val="24"/>
        </w:rPr>
        <w:t xml:space="preserve">5.1 Platform</w:t>
      </w:r>
    </w:p>
    <w:p>
      <w:pPr>
        <w:spacing w:after="160" w:line="300"/>
      </w:pPr>
      <w:r>
        <w:rPr>
          <w:color w:val="222222"/>
          <w:sz w:val="21"/>
          <w:szCs w:val="21"/>
        </w:rPr>
        <w:t xml:space="preserve">A bilingual (English/Arabic, full RTL) storefront is non-negotiable for this market — treat it as a launch requirement, not a later localization pass. Shopify (with a RTL-capable theme or Shopify Markets) or a custom build are both viable; the deciding factor is how much catalog-curation logic (the roast-line placement) needs to be custom versus themeable.</w:t>
      </w:r>
    </w:p>
    <w:p>
      <w:pPr>
        <w:pStyle w:val="Heading2"/>
        <w:spacing w:after="120" w:before="280"/>
      </w:pPr>
      <w:r>
        <w:rPr>
          <w:b/>
          <w:bCs/>
          <w:color w:val="1F3B33"/>
          <w:sz w:val="24"/>
          <w:szCs w:val="24"/>
        </w:rPr>
        <w:t xml:space="preserve">5.2 Customer acquisition</w:t>
      </w:r>
    </w:p>
    <w:p>
      <w:pPr>
        <w:pStyle w:val="ListParagraph"/>
        <w:numPr>
          <w:ilvl w:val="0"/>
          <w:numId w:val="2"/>
        </w:numPr>
        <w:spacing w:after="80" w:line="280"/>
      </w:pPr>
      <w:r>
        <w:rPr>
          <w:color w:val="222222"/>
          <w:sz w:val="21"/>
          <w:szCs w:val="21"/>
        </w:rPr>
        <w:t xml:space="preserve">Roaster co-marketing: each partner roaster promotes the marketplace to their own existing audience in exchange for shelf space — effectively free distribution that a single-brand roastery doesn't have access to.</w:t>
      </w:r>
    </w:p>
    <w:p>
      <w:pPr>
        <w:pStyle w:val="ListParagraph"/>
        <w:numPr>
          <w:ilvl w:val="0"/>
          <w:numId w:val="2"/>
        </w:numPr>
        <w:spacing w:after="80" w:line="280"/>
      </w:pPr>
      <w:r>
        <w:rPr>
          <w:color w:val="222222"/>
          <w:sz w:val="21"/>
          <w:szCs w:val="21"/>
        </w:rPr>
        <w:t xml:space="preserve">Instagram/TikTok in both languages: short comparison-style content (“three Dubai roasters' light roasts, side by side”) plays directly to the roast-line concept.</w:t>
      </w:r>
    </w:p>
    <w:p>
      <w:pPr>
        <w:pStyle w:val="ListParagraph"/>
        <w:numPr>
          <w:ilvl w:val="0"/>
          <w:numId w:val="2"/>
        </w:numPr>
        <w:spacing w:after="80" w:line="280"/>
      </w:pPr>
      <w:r>
        <w:rPr>
          <w:color w:val="222222"/>
          <w:sz w:val="21"/>
          <w:szCs w:val="21"/>
        </w:rPr>
        <w:t xml:space="preserve">Arabic-language SEO and content are comparatively underserved in this category regionally — a real opportunity, not just a checkbox.</w:t>
      </w:r>
    </w:p>
    <w:p>
      <w:pPr>
        <w:pStyle w:val="ListParagraph"/>
        <w:numPr>
          <w:ilvl w:val="0"/>
          <w:numId w:val="2"/>
        </w:numPr>
        <w:spacing w:after="80" w:line="280"/>
      </w:pPr>
      <w:r>
        <w:rPr>
          <w:color w:val="222222"/>
          <w:sz w:val="21"/>
          <w:szCs w:val="21"/>
        </w:rPr>
        <w:t xml:space="preserve">Discovery Sampler as the paid-ad landing offer: low price point, clear value, natural upsell path into full-size repeat orders.</w:t>
      </w:r>
    </w:p>
    <w:p>
      <w:pPr>
        <w:pStyle w:val="Heading2"/>
        <w:spacing w:after="120" w:before="280"/>
      </w:pPr>
      <w:r>
        <w:rPr>
          <w:b/>
          <w:bCs/>
          <w:color w:val="1F3B33"/>
          <w:sz w:val="24"/>
          <w:szCs w:val="24"/>
        </w:rPr>
        <w:t xml:space="preserve">5.3 Retention</w:t>
      </w:r>
    </w:p>
    <w:p>
      <w:pPr>
        <w:spacing w:after="160" w:line="300"/>
      </w:pPr>
      <w:r>
        <w:rPr>
          <w:color w:val="222222"/>
          <w:sz w:val="21"/>
          <w:szCs w:val="21"/>
        </w:rPr>
        <w:t xml:space="preserve">Without a subscription mechanic at launch, retention relies on email/WhatsApp re-engagement (“your Ethiopia Guji is probably running low” timed around typical 250g consumption), a simple loyalty credit, and expanding the roaster roster so there's always something new to compare.</w:t>
      </w:r>
    </w:p>
    <w:p>
      <w:pPr>
        <w:pStyle w:val="Heading1"/>
        <w:pBdr>
          <w:bottom w:val="single" w:color="B08944" w:sz="6" w:space="4"/>
        </w:pBdr>
        <w:spacing w:after="200" w:before="400"/>
      </w:pPr>
      <w:r>
        <w:rPr>
          <w:b/>
          <w:bCs/>
          <w:color w:val="1F3B33"/>
          <w:sz w:val="30"/>
          <w:szCs w:val="30"/>
        </w:rPr>
        <w:t xml:space="preserve">6. Operations Plan</w:t>
      </w:r>
    </w:p>
    <w:p>
      <w:pPr>
        <w:pStyle w:val="Heading2"/>
        <w:spacing w:after="120" w:before="280"/>
      </w:pPr>
      <w:r>
        <w:rPr>
          <w:b/>
          <w:bCs/>
          <w:color w:val="1F3B33"/>
          <w:sz w:val="24"/>
          <w:szCs w:val="24"/>
        </w:rPr>
        <w:t xml:space="preserve">6.1 Sourcing &amp; inventory</w:t>
      </w:r>
    </w:p>
    <w:p>
      <w:pPr>
        <w:pStyle w:val="ListParagraph"/>
        <w:numPr>
          <w:ilvl w:val="0"/>
          <w:numId w:val="2"/>
        </w:numPr>
        <w:spacing w:after="80" w:line="280"/>
      </w:pPr>
      <w:r>
        <w:rPr>
          <w:color w:val="222222"/>
          <w:sz w:val="21"/>
          <w:szCs w:val="21"/>
        </w:rPr>
        <w:t xml:space="preserve">Start with 5–8 roaster partners on consignment (they supply stock, get paid as it sells) to minimize upfront cash tied up in inventory; move higher-velocity SKUs to outright wholesale purchase once sales data justifies it.</w:t>
      </w:r>
    </w:p>
    <w:p>
      <w:pPr>
        <w:pStyle w:val="ListParagraph"/>
        <w:numPr>
          <w:ilvl w:val="0"/>
          <w:numId w:val="2"/>
        </w:numPr>
        <w:spacing w:after="80" w:line="280"/>
      </w:pPr>
      <w:r>
        <w:rPr>
          <w:color w:val="222222"/>
          <w:sz w:val="21"/>
          <w:szCs w:val="21"/>
        </w:rPr>
        <w:t xml:space="preserve">Agree a maximum shelf life per bag (e.g. 60 days from roast date) with every partner and pull anything older — freshness is the easiest trust signal to make or break as a marketplace, since the business doesn't control the roast itself.</w:t>
      </w:r>
    </w:p>
    <w:p>
      <w:pPr>
        <w:pStyle w:val="ListParagraph"/>
        <w:numPr>
          <w:ilvl w:val="0"/>
          <w:numId w:val="2"/>
        </w:numPr>
        <w:spacing w:after="80" w:line="280"/>
      </w:pPr>
      <w:r>
        <w:rPr>
          <w:color w:val="222222"/>
          <w:sz w:val="21"/>
          <w:szCs w:val="21"/>
        </w:rPr>
        <w:t xml:space="preserve">Single fulfillment point: all partner roasters deliver stock to one small warehouse/storage unit; the business picks, packs, and ships every customer order as one shipment regardless of how many roasters are represented in the cart.</w:t>
      </w:r>
    </w:p>
    <w:p>
      <w:pPr>
        <w:pStyle w:val="Heading2"/>
        <w:spacing w:after="120" w:before="280"/>
      </w:pPr>
      <w:r>
        <w:rPr>
          <w:b/>
          <w:bCs/>
          <w:color w:val="1F3B33"/>
          <w:sz w:val="24"/>
          <w:szCs w:val="24"/>
        </w:rPr>
        <w:t xml:space="preserve">6.2 Delivery</w:t>
      </w:r>
    </w:p>
    <w:p>
      <w:pPr>
        <w:pStyle w:val="ListParagraph"/>
        <w:numPr>
          <w:ilvl w:val="0"/>
          <w:numId w:val="2"/>
        </w:numPr>
        <w:spacing w:after="80" w:line="280"/>
      </w:pPr>
      <w:r>
        <w:rPr>
          <w:color w:val="222222"/>
          <w:sz w:val="21"/>
          <w:szCs w:val="21"/>
        </w:rPr>
        <w:t xml:space="preserve">Dubai: same-day or next-day via a local courier/aggregator (e.g. a same-day delivery API partner); rest of UAE: 1–2 days via a national courier (e.g. Aramex).</w:t>
      </w:r>
    </w:p>
    <w:p>
      <w:pPr>
        <w:pStyle w:val="ListParagraph"/>
        <w:numPr>
          <w:ilvl w:val="0"/>
          <w:numId w:val="2"/>
        </w:numPr>
        <w:spacing w:after="80" w:line="280"/>
      </w:pPr>
      <w:r>
        <w:rPr>
          <w:color w:val="222222"/>
          <w:sz w:val="21"/>
          <w:szCs w:val="21"/>
        </w:rPr>
        <w:t xml:space="preserve">Build delivery cost into the retail price rather than charging separately below a minimum order threshold — reduces cart abandonment, which matters more for a comparison-shopping marketplace than for a single destination site.</w:t>
      </w:r>
    </w:p>
    <w:p>
      <w:pPr>
        <w:pStyle w:val="Heading1"/>
        <w:pBdr>
          <w:bottom w:val="single" w:color="B08944" w:sz="6" w:space="4"/>
        </w:pBdr>
        <w:spacing w:after="200" w:before="400"/>
      </w:pPr>
      <w:r>
        <w:rPr>
          <w:b/>
          <w:bCs/>
          <w:color w:val="1F3B33"/>
          <w:sz w:val="30"/>
          <w:szCs w:val="30"/>
        </w:rPr>
        <w:t xml:space="preserve">7. Management &amp; Organization</w:t>
      </w:r>
    </w:p>
    <w:p>
      <w:pPr>
        <w:spacing w:after="160" w:line="300"/>
      </w:pPr>
      <w:r>
        <w:rPr>
          <w:color w:val="222222"/>
          <w:sz w:val="21"/>
          <w:szCs w:val="21"/>
        </w:rPr>
        <w:t xml:space="preserve">Solo founder-operated at launch, covering roaster partnerships, the storefront, marketing, and order packing personally. The first hire (part-time) should be for packing/fulfillment once daily order volume exceeds roughly 15–20 orders/day; the second should be Arabic-first content/community, since that's the least defensible-by-competitors advantage identified above.</w:t>
      </w:r>
    </w:p>
    <w:p>
      <w:r>
        <w:br w:type="page"/>
      </w:r>
    </w:p>
    <w:p>
      <w:pPr>
        <w:pStyle w:val="Heading1"/>
        <w:pBdr>
          <w:bottom w:val="single" w:color="B08944" w:sz="6" w:space="4"/>
        </w:pBdr>
        <w:spacing w:after="200" w:before="400"/>
      </w:pPr>
      <w:r>
        <w:rPr>
          <w:b/>
          <w:bCs/>
          <w:color w:val="1F3B33"/>
          <w:sz w:val="30"/>
          <w:szCs w:val="30"/>
        </w:rPr>
        <w:t xml:space="preserve">8. Financial Plan</w:t>
      </w:r>
    </w:p>
    <w:p>
      <w:pPr>
        <w:spacing w:after="160" w:line="300"/>
      </w:pPr>
      <w:r>
        <w:rPr>
          <w:color w:val="222222"/>
          <w:sz w:val="21"/>
          <w:szCs w:val="21"/>
        </w:rPr>
        <w:t xml:space="preserve">Three tiers below since the exact budget wasn't fixed — pick the row that matches available capital. Figures are illustrative planning estimates in AED; confirm against real supplier and courier quotes before committing spend.</w:t>
      </w:r>
    </w:p>
    <w:p>
      <w:pPr>
        <w:pStyle w:val="Heading2"/>
        <w:spacing w:after="120" w:before="280"/>
      </w:pPr>
      <w:r>
        <w:rPr>
          <w:b/>
          <w:bCs/>
          <w:color w:val="1F3B33"/>
          <w:sz w:val="24"/>
          <w:szCs w:val="24"/>
        </w:rPr>
        <w:t xml:space="preserve">8.1 Startup costs by tier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600"/>
        <w:gridCol w:w="2100"/>
        <w:gridCol w:w="2100"/>
        <w:gridCol w:w="2100"/>
      </w:tblGrid>
      <w:tr>
        <w:tc>
          <w:tcPr>
            <w:tcW w:type="dxa" w:w="3600"/>
            <w:shd w:fill="1F3B33" w:val="clear"/>
            <w:tcMar>
              <w:top w:type="dxa" w:w="80"/>
              <w:left w:type="dxa" w:w="100"/>
              <w:bottom w:type="dxa" w:w="80"/>
              <w:right w:type="dxa" w:w="100"/>
            </w:tcMar>
          </w:tcPr>
          <w:p>
            <w:pPr>
              <w:jc w:val="left"/>
            </w:pPr>
            <w:r>
              <w:rPr>
                <w:b/>
                <w:bCs/>
                <w:color w:val="FFFFFF"/>
                <w:sz w:val="20"/>
                <w:szCs w:val="20"/>
              </w:rPr>
              <w:t xml:space="preserve">Cost item</w:t>
            </w:r>
          </w:p>
        </w:tc>
        <w:tc>
          <w:tcPr>
            <w:tcW w:type="dxa" w:w="2100"/>
            <w:shd w:fill="1F3B33" w:val="clear"/>
            <w:tcMar>
              <w:top w:type="dxa" w:w="80"/>
              <w:left w:type="dxa" w:w="100"/>
              <w:bottom w:type="dxa" w:w="80"/>
              <w:right w:type="dxa" w:w="100"/>
            </w:tcMar>
          </w:tcPr>
          <w:p>
            <w:pPr>
              <w:jc w:val="right"/>
            </w:pPr>
            <w:r>
              <w:rPr>
                <w:b/>
                <w:bCs/>
                <w:color w:val="FFFFFF"/>
                <w:sz w:val="20"/>
                <w:szCs w:val="20"/>
              </w:rPr>
              <w:t xml:space="preserve">Lean (&lt;AED 20k)</w:t>
            </w:r>
          </w:p>
        </w:tc>
        <w:tc>
          <w:tcPr>
            <w:tcW w:type="dxa" w:w="2100"/>
            <w:shd w:fill="1F3B33" w:val="clear"/>
            <w:tcMar>
              <w:top w:type="dxa" w:w="80"/>
              <w:left w:type="dxa" w:w="100"/>
              <w:bottom w:type="dxa" w:w="80"/>
              <w:right w:type="dxa" w:w="100"/>
            </w:tcMar>
          </w:tcPr>
          <w:p>
            <w:pPr>
              <w:jc w:val="right"/>
            </w:pPr>
            <w:r>
              <w:rPr>
                <w:b/>
                <w:bCs/>
                <w:color w:val="FFFFFF"/>
                <w:sz w:val="20"/>
                <w:szCs w:val="20"/>
              </w:rPr>
              <w:t xml:space="preserve">Moderate (AED 20–90k)</w:t>
            </w:r>
          </w:p>
        </w:tc>
        <w:tc>
          <w:tcPr>
            <w:tcW w:type="dxa" w:w="2100"/>
            <w:shd w:fill="1F3B33" w:val="clear"/>
            <w:tcMar>
              <w:top w:type="dxa" w:w="80"/>
              <w:left w:type="dxa" w:w="100"/>
              <w:bottom w:type="dxa" w:w="80"/>
              <w:right w:type="dxa" w:w="100"/>
            </w:tcMar>
          </w:tcPr>
          <w:p>
            <w:pPr>
              <w:jc w:val="right"/>
            </w:pPr>
            <w:r>
              <w:rPr>
                <w:b/>
                <w:bCs/>
                <w:color w:val="FFFFFF"/>
                <w:sz w:val="20"/>
                <w:szCs w:val="20"/>
              </w:rPr>
              <w:t xml:space="preserve">Growth (AED 90–350k)</w:t>
            </w:r>
          </w:p>
        </w:tc>
      </w:tr>
      <w:tr>
        <w:tc>
          <w:tcPr>
            <w:tcW w:type="dxa" w:w="3600"/>
            <w:shd w:fill="FFFFFF" w:val="clear"/>
            <w:tcMar>
              <w:top w:type="dxa" w:w="80"/>
              <w:left w:type="dxa" w:w="100"/>
              <w:bottom w:type="dxa" w:w="80"/>
              <w:right w:type="dxa" w:w="100"/>
            </w:tcMar>
          </w:tcPr>
          <w:p>
            <w:pPr>
              <w:jc w:val="left"/>
            </w:pPr>
            <w:r>
              <w:rPr>
                <w:b w:val="false"/>
                <w:bCs w:val="false"/>
                <w:color w:val="222222"/>
                <w:sz w:val="20"/>
                <w:szCs w:val="20"/>
              </w:rPr>
              <w:t xml:space="preserve">Trade license &amp; registration</w:t>
            </w:r>
          </w:p>
        </w:tc>
        <w:tc>
          <w:tcPr>
            <w:tcW w:type="dxa" w:w="2100"/>
            <w:shd w:fill="FFFFFF" w:val="clear"/>
            <w:tcMar>
              <w:top w:type="dxa" w:w="80"/>
              <w:left w:type="dxa" w:w="100"/>
              <w:bottom w:type="dxa" w:w="80"/>
              <w:right w:type="dxa" w:w="100"/>
            </w:tcMar>
          </w:tcPr>
          <w:p>
            <w:pPr>
              <w:jc w:val="right"/>
            </w:pPr>
            <w:r>
              <w:rPr>
                <w:b w:val="false"/>
                <w:bCs w:val="false"/>
                <w:color w:val="222222"/>
                <w:sz w:val="20"/>
                <w:szCs w:val="20"/>
              </w:rPr>
              <w:t xml:space="preserve">AED 3,500 (free zone)</w:t>
            </w:r>
          </w:p>
        </w:tc>
        <w:tc>
          <w:tcPr>
            <w:tcW w:type="dxa" w:w="2100"/>
            <w:shd w:fill="FFFFFF" w:val="clear"/>
            <w:tcMar>
              <w:top w:type="dxa" w:w="80"/>
              <w:left w:type="dxa" w:w="100"/>
              <w:bottom w:type="dxa" w:w="80"/>
              <w:right w:type="dxa" w:w="100"/>
            </w:tcMar>
          </w:tcPr>
          <w:p>
            <w:pPr>
              <w:jc w:val="right"/>
            </w:pPr>
            <w:r>
              <w:rPr>
                <w:b w:val="false"/>
                <w:bCs w:val="false"/>
                <w:color w:val="222222"/>
                <w:sz w:val="20"/>
                <w:szCs w:val="20"/>
              </w:rPr>
              <w:t xml:space="preserve">AED 8,000</w:t>
            </w:r>
          </w:p>
        </w:tc>
        <w:tc>
          <w:tcPr>
            <w:tcW w:type="dxa" w:w="2100"/>
            <w:shd w:fill="FFFFFF" w:val="clear"/>
            <w:tcMar>
              <w:top w:type="dxa" w:w="80"/>
              <w:left w:type="dxa" w:w="100"/>
              <w:bottom w:type="dxa" w:w="80"/>
              <w:right w:type="dxa" w:w="100"/>
            </w:tcMar>
          </w:tcPr>
          <w:p>
            <w:pPr>
              <w:jc w:val="right"/>
            </w:pPr>
            <w:r>
              <w:rPr>
                <w:b w:val="false"/>
                <w:bCs w:val="false"/>
                <w:color w:val="222222"/>
                <w:sz w:val="20"/>
                <w:szCs w:val="20"/>
              </w:rPr>
              <w:t xml:space="preserve">AED 15,000</w:t>
            </w:r>
          </w:p>
        </w:tc>
      </w:tr>
      <w:tr>
        <w:tc>
          <w:tcPr>
            <w:tcW w:type="dxa" w:w="3600"/>
            <w:shd w:fill="F4EFE6" w:val="clear"/>
            <w:tcMar>
              <w:top w:type="dxa" w:w="80"/>
              <w:left w:type="dxa" w:w="100"/>
              <w:bottom w:type="dxa" w:w="80"/>
              <w:right w:type="dxa" w:w="100"/>
            </w:tcMar>
          </w:tcPr>
          <w:p>
            <w:pPr>
              <w:jc w:val="left"/>
            </w:pPr>
            <w:r>
              <w:rPr>
                <w:b w:val="false"/>
                <w:bCs w:val="false"/>
                <w:color w:val="222222"/>
                <w:sz w:val="20"/>
                <w:szCs w:val="20"/>
              </w:rPr>
              <w:t xml:space="preserve">E-commerce platform, domain, bilingual theme</w:t>
            </w:r>
          </w:p>
        </w:tc>
        <w:tc>
          <w:tcPr>
            <w:tcW w:type="dxa" w:w="2100"/>
            <w:shd w:fill="F4EFE6" w:val="clear"/>
            <w:tcMar>
              <w:top w:type="dxa" w:w="80"/>
              <w:left w:type="dxa" w:w="100"/>
              <w:bottom w:type="dxa" w:w="80"/>
              <w:right w:type="dxa" w:w="100"/>
            </w:tcMar>
          </w:tcPr>
          <w:p>
            <w:pPr>
              <w:jc w:val="right"/>
            </w:pPr>
            <w:r>
              <w:rPr>
                <w:b w:val="false"/>
                <w:bCs w:val="false"/>
                <w:color w:val="222222"/>
                <w:sz w:val="20"/>
                <w:szCs w:val="20"/>
              </w:rPr>
              <w:t xml:space="preserve">AED 1,500</w:t>
            </w:r>
          </w:p>
        </w:tc>
        <w:tc>
          <w:tcPr>
            <w:tcW w:type="dxa" w:w="2100"/>
            <w:shd w:fill="F4EFE6" w:val="clear"/>
            <w:tcMar>
              <w:top w:type="dxa" w:w="80"/>
              <w:left w:type="dxa" w:w="100"/>
              <w:bottom w:type="dxa" w:w="80"/>
              <w:right w:type="dxa" w:w="100"/>
            </w:tcMar>
          </w:tcPr>
          <w:p>
            <w:pPr>
              <w:jc w:val="right"/>
            </w:pPr>
            <w:r>
              <w:rPr>
                <w:b w:val="false"/>
                <w:bCs w:val="false"/>
                <w:color w:val="222222"/>
                <w:sz w:val="20"/>
                <w:szCs w:val="20"/>
              </w:rPr>
              <w:t xml:space="preserve">AED 6,000</w:t>
            </w:r>
          </w:p>
        </w:tc>
        <w:tc>
          <w:tcPr>
            <w:tcW w:type="dxa" w:w="2100"/>
            <w:shd w:fill="F4EFE6" w:val="clear"/>
            <w:tcMar>
              <w:top w:type="dxa" w:w="80"/>
              <w:left w:type="dxa" w:w="100"/>
              <w:bottom w:type="dxa" w:w="80"/>
              <w:right w:type="dxa" w:w="100"/>
            </w:tcMar>
          </w:tcPr>
          <w:p>
            <w:pPr>
              <w:jc w:val="right"/>
            </w:pPr>
            <w:r>
              <w:rPr>
                <w:b w:val="false"/>
                <w:bCs w:val="false"/>
                <w:color w:val="222222"/>
                <w:sz w:val="20"/>
                <w:szCs w:val="20"/>
              </w:rPr>
              <w:t xml:space="preserve">AED 15,000</w:t>
            </w:r>
          </w:p>
        </w:tc>
      </w:tr>
      <w:tr>
        <w:tc>
          <w:tcPr>
            <w:tcW w:type="dxa" w:w="3600"/>
            <w:shd w:fill="FFFFFF" w:val="clear"/>
            <w:tcMar>
              <w:top w:type="dxa" w:w="80"/>
              <w:left w:type="dxa" w:w="100"/>
              <w:bottom w:type="dxa" w:w="80"/>
              <w:right w:type="dxa" w:w="100"/>
            </w:tcMar>
          </w:tcPr>
          <w:p>
            <w:pPr>
              <w:jc w:val="left"/>
            </w:pPr>
            <w:r>
              <w:rPr>
                <w:b w:val="false"/>
                <w:bCs w:val="false"/>
                <w:color w:val="222222"/>
                <w:sz w:val="20"/>
                <w:szCs w:val="20"/>
              </w:rPr>
              <w:t xml:space="preserve">Branding &amp; bilingual content/design</w:t>
            </w:r>
          </w:p>
        </w:tc>
        <w:tc>
          <w:tcPr>
            <w:tcW w:type="dxa" w:w="2100"/>
            <w:shd w:fill="FFFFFF" w:val="clear"/>
            <w:tcMar>
              <w:top w:type="dxa" w:w="80"/>
              <w:left w:type="dxa" w:w="100"/>
              <w:bottom w:type="dxa" w:w="80"/>
              <w:right w:type="dxa" w:w="100"/>
            </w:tcMar>
          </w:tcPr>
          <w:p>
            <w:pPr>
              <w:jc w:val="right"/>
            </w:pPr>
            <w:r>
              <w:rPr>
                <w:b w:val="false"/>
                <w:bCs w:val="false"/>
                <w:color w:val="222222"/>
                <w:sz w:val="20"/>
                <w:szCs w:val="20"/>
              </w:rPr>
              <w:t xml:space="preserve">AED 800 (DIY/templates)</w:t>
            </w:r>
          </w:p>
        </w:tc>
        <w:tc>
          <w:tcPr>
            <w:tcW w:type="dxa" w:w="2100"/>
            <w:shd w:fill="FFFFFF" w:val="clear"/>
            <w:tcMar>
              <w:top w:type="dxa" w:w="80"/>
              <w:left w:type="dxa" w:w="100"/>
              <w:bottom w:type="dxa" w:w="80"/>
              <w:right w:type="dxa" w:w="100"/>
            </w:tcMar>
          </w:tcPr>
          <w:p>
            <w:pPr>
              <w:jc w:val="right"/>
            </w:pPr>
            <w:r>
              <w:rPr>
                <w:b w:val="false"/>
                <w:bCs w:val="false"/>
                <w:color w:val="222222"/>
                <w:sz w:val="20"/>
                <w:szCs w:val="20"/>
              </w:rPr>
              <w:t xml:space="preserve">AED 6,000</w:t>
            </w:r>
          </w:p>
        </w:tc>
        <w:tc>
          <w:tcPr>
            <w:tcW w:type="dxa" w:w="2100"/>
            <w:shd w:fill="FFFFFF" w:val="clear"/>
            <w:tcMar>
              <w:top w:type="dxa" w:w="80"/>
              <w:left w:type="dxa" w:w="100"/>
              <w:bottom w:type="dxa" w:w="80"/>
              <w:right w:type="dxa" w:w="100"/>
            </w:tcMar>
          </w:tcPr>
          <w:p>
            <w:pPr>
              <w:jc w:val="right"/>
            </w:pPr>
            <w:r>
              <w:rPr>
                <w:b w:val="false"/>
                <w:bCs w:val="false"/>
                <w:color w:val="222222"/>
                <w:sz w:val="20"/>
                <w:szCs w:val="20"/>
              </w:rPr>
              <w:t xml:space="preserve">AED 15,000</w:t>
            </w:r>
          </w:p>
        </w:tc>
      </w:tr>
      <w:tr>
        <w:tc>
          <w:tcPr>
            <w:tcW w:type="dxa" w:w="3600"/>
            <w:shd w:fill="F4EFE6" w:val="clear"/>
            <w:tcMar>
              <w:top w:type="dxa" w:w="80"/>
              <w:left w:type="dxa" w:w="100"/>
              <w:bottom w:type="dxa" w:w="80"/>
              <w:right w:type="dxa" w:w="100"/>
            </w:tcMar>
          </w:tcPr>
          <w:p>
            <w:pPr>
              <w:jc w:val="left"/>
            </w:pPr>
            <w:r>
              <w:rPr>
                <w:b w:val="false"/>
                <w:bCs w:val="false"/>
                <w:color w:val="222222"/>
                <w:sz w:val="20"/>
                <w:szCs w:val="20"/>
              </w:rPr>
              <w:t xml:space="preserve">Initial consigned/purchased inventory (6–15 SKUs)</w:t>
            </w:r>
          </w:p>
        </w:tc>
        <w:tc>
          <w:tcPr>
            <w:tcW w:type="dxa" w:w="2100"/>
            <w:shd w:fill="F4EFE6" w:val="clear"/>
            <w:tcMar>
              <w:top w:type="dxa" w:w="80"/>
              <w:left w:type="dxa" w:w="100"/>
              <w:bottom w:type="dxa" w:w="80"/>
              <w:right w:type="dxa" w:w="100"/>
            </w:tcMar>
          </w:tcPr>
          <w:p>
            <w:pPr>
              <w:jc w:val="right"/>
            </w:pPr>
            <w:r>
              <w:rPr>
                <w:b w:val="false"/>
                <w:bCs w:val="false"/>
                <w:color w:val="222222"/>
                <w:sz w:val="20"/>
                <w:szCs w:val="20"/>
              </w:rPr>
              <w:t xml:space="preserve">AED 3,000 (mostly consignment)</w:t>
            </w:r>
          </w:p>
        </w:tc>
        <w:tc>
          <w:tcPr>
            <w:tcW w:type="dxa" w:w="2100"/>
            <w:shd w:fill="F4EFE6" w:val="clear"/>
            <w:tcMar>
              <w:top w:type="dxa" w:w="80"/>
              <w:left w:type="dxa" w:w="100"/>
              <w:bottom w:type="dxa" w:w="80"/>
              <w:right w:type="dxa" w:w="100"/>
            </w:tcMar>
          </w:tcPr>
          <w:p>
            <w:pPr>
              <w:jc w:val="right"/>
            </w:pPr>
            <w:r>
              <w:rPr>
                <w:b w:val="false"/>
                <w:bCs w:val="false"/>
                <w:color w:val="222222"/>
                <w:sz w:val="20"/>
                <w:szCs w:val="20"/>
              </w:rPr>
              <w:t xml:space="preserve">AED 15,000</w:t>
            </w:r>
          </w:p>
        </w:tc>
        <w:tc>
          <w:tcPr>
            <w:tcW w:type="dxa" w:w="2100"/>
            <w:shd w:fill="F4EFE6" w:val="clear"/>
            <w:tcMar>
              <w:top w:type="dxa" w:w="80"/>
              <w:left w:type="dxa" w:w="100"/>
              <w:bottom w:type="dxa" w:w="80"/>
              <w:right w:type="dxa" w:w="100"/>
            </w:tcMar>
          </w:tcPr>
          <w:p>
            <w:pPr>
              <w:jc w:val="right"/>
            </w:pPr>
            <w:r>
              <w:rPr>
                <w:b w:val="false"/>
                <w:bCs w:val="false"/>
                <w:color w:val="222222"/>
                <w:sz w:val="20"/>
                <w:szCs w:val="20"/>
              </w:rPr>
              <w:t xml:space="preserve">AED 40,000</w:t>
            </w:r>
          </w:p>
        </w:tc>
      </w:tr>
      <w:tr>
        <w:tc>
          <w:tcPr>
            <w:tcW w:type="dxa" w:w="3600"/>
            <w:shd w:fill="FFFFFF" w:val="clear"/>
            <w:tcMar>
              <w:top w:type="dxa" w:w="80"/>
              <w:left w:type="dxa" w:w="100"/>
              <w:bottom w:type="dxa" w:w="80"/>
              <w:right w:type="dxa" w:w="100"/>
            </w:tcMar>
          </w:tcPr>
          <w:p>
            <w:pPr>
              <w:jc w:val="left"/>
            </w:pPr>
            <w:r>
              <w:rPr>
                <w:b w:val="false"/>
                <w:bCs w:val="false"/>
                <w:color w:val="222222"/>
                <w:sz w:val="20"/>
                <w:szCs w:val="20"/>
              </w:rPr>
              <w:t xml:space="preserve">Packaging (outer boxes, inserts, tape, labels)</w:t>
            </w:r>
          </w:p>
        </w:tc>
        <w:tc>
          <w:tcPr>
            <w:tcW w:type="dxa" w:w="2100"/>
            <w:shd w:fill="FFFFFF" w:val="clear"/>
            <w:tcMar>
              <w:top w:type="dxa" w:w="80"/>
              <w:left w:type="dxa" w:w="100"/>
              <w:bottom w:type="dxa" w:w="80"/>
              <w:right w:type="dxa" w:w="100"/>
            </w:tcMar>
          </w:tcPr>
          <w:p>
            <w:pPr>
              <w:jc w:val="right"/>
            </w:pPr>
            <w:r>
              <w:rPr>
                <w:b w:val="false"/>
                <w:bCs w:val="false"/>
                <w:color w:val="222222"/>
                <w:sz w:val="20"/>
                <w:szCs w:val="20"/>
              </w:rPr>
              <w:t xml:space="preserve">AED 1,200</w:t>
            </w:r>
          </w:p>
        </w:tc>
        <w:tc>
          <w:tcPr>
            <w:tcW w:type="dxa" w:w="2100"/>
            <w:shd w:fill="FFFFFF" w:val="clear"/>
            <w:tcMar>
              <w:top w:type="dxa" w:w="80"/>
              <w:left w:type="dxa" w:w="100"/>
              <w:bottom w:type="dxa" w:w="80"/>
              <w:right w:type="dxa" w:w="100"/>
            </w:tcMar>
          </w:tcPr>
          <w:p>
            <w:pPr>
              <w:jc w:val="right"/>
            </w:pPr>
            <w:r>
              <w:rPr>
                <w:b w:val="false"/>
                <w:bCs w:val="false"/>
                <w:color w:val="222222"/>
                <w:sz w:val="20"/>
                <w:szCs w:val="20"/>
              </w:rPr>
              <w:t xml:space="preserve">AED 4,000</w:t>
            </w:r>
          </w:p>
        </w:tc>
        <w:tc>
          <w:tcPr>
            <w:tcW w:type="dxa" w:w="2100"/>
            <w:shd w:fill="FFFFFF" w:val="clear"/>
            <w:tcMar>
              <w:top w:type="dxa" w:w="80"/>
              <w:left w:type="dxa" w:w="100"/>
              <w:bottom w:type="dxa" w:w="80"/>
              <w:right w:type="dxa" w:w="100"/>
            </w:tcMar>
          </w:tcPr>
          <w:p>
            <w:pPr>
              <w:jc w:val="right"/>
            </w:pPr>
            <w:r>
              <w:rPr>
                <w:b w:val="false"/>
                <w:bCs w:val="false"/>
                <w:color w:val="222222"/>
                <w:sz w:val="20"/>
                <w:szCs w:val="20"/>
              </w:rPr>
              <w:t xml:space="preserve">AED 10,000</w:t>
            </w:r>
          </w:p>
        </w:tc>
      </w:tr>
      <w:tr>
        <w:tc>
          <w:tcPr>
            <w:tcW w:type="dxa" w:w="3600"/>
            <w:shd w:fill="F4EFE6" w:val="clear"/>
            <w:tcMar>
              <w:top w:type="dxa" w:w="80"/>
              <w:left w:type="dxa" w:w="100"/>
              <w:bottom w:type="dxa" w:w="80"/>
              <w:right w:type="dxa" w:w="100"/>
            </w:tcMar>
          </w:tcPr>
          <w:p>
            <w:pPr>
              <w:jc w:val="left"/>
            </w:pPr>
            <w:r>
              <w:rPr>
                <w:b w:val="false"/>
                <w:bCs w:val="false"/>
                <w:color w:val="222222"/>
                <w:sz w:val="20"/>
                <w:szCs w:val="20"/>
              </w:rPr>
              <w:t xml:space="preserve">Photography &amp; bilingual content</w:t>
            </w:r>
          </w:p>
        </w:tc>
        <w:tc>
          <w:tcPr>
            <w:tcW w:type="dxa" w:w="2100"/>
            <w:shd w:fill="F4EFE6" w:val="clear"/>
            <w:tcMar>
              <w:top w:type="dxa" w:w="80"/>
              <w:left w:type="dxa" w:w="100"/>
              <w:bottom w:type="dxa" w:w="80"/>
              <w:right w:type="dxa" w:w="100"/>
            </w:tcMar>
          </w:tcPr>
          <w:p>
            <w:pPr>
              <w:jc w:val="right"/>
            </w:pPr>
            <w:r>
              <w:rPr>
                <w:b w:val="false"/>
                <w:bCs w:val="false"/>
                <w:color w:val="222222"/>
                <w:sz w:val="20"/>
                <w:szCs w:val="20"/>
              </w:rPr>
              <w:t xml:space="preserve">AED 0 (self-shot)</w:t>
            </w:r>
          </w:p>
        </w:tc>
        <w:tc>
          <w:tcPr>
            <w:tcW w:type="dxa" w:w="2100"/>
            <w:shd w:fill="F4EFE6" w:val="clear"/>
            <w:tcMar>
              <w:top w:type="dxa" w:w="80"/>
              <w:left w:type="dxa" w:w="100"/>
              <w:bottom w:type="dxa" w:w="80"/>
              <w:right w:type="dxa" w:w="100"/>
            </w:tcMar>
          </w:tcPr>
          <w:p>
            <w:pPr>
              <w:jc w:val="right"/>
            </w:pPr>
            <w:r>
              <w:rPr>
                <w:b w:val="false"/>
                <w:bCs w:val="false"/>
                <w:color w:val="222222"/>
                <w:sz w:val="20"/>
                <w:szCs w:val="20"/>
              </w:rPr>
              <w:t xml:space="preserve">AED 4,000</w:t>
            </w:r>
          </w:p>
        </w:tc>
        <w:tc>
          <w:tcPr>
            <w:tcW w:type="dxa" w:w="2100"/>
            <w:shd w:fill="F4EFE6" w:val="clear"/>
            <w:tcMar>
              <w:top w:type="dxa" w:w="80"/>
              <w:left w:type="dxa" w:w="100"/>
              <w:bottom w:type="dxa" w:w="80"/>
              <w:right w:type="dxa" w:w="100"/>
            </w:tcMar>
          </w:tcPr>
          <w:p>
            <w:pPr>
              <w:jc w:val="right"/>
            </w:pPr>
            <w:r>
              <w:rPr>
                <w:b w:val="false"/>
                <w:bCs w:val="false"/>
                <w:color w:val="222222"/>
                <w:sz w:val="20"/>
                <w:szCs w:val="20"/>
              </w:rPr>
              <w:t xml:space="preserve">AED 12,000</w:t>
            </w:r>
          </w:p>
        </w:tc>
      </w:tr>
      <w:tr>
        <w:tc>
          <w:tcPr>
            <w:tcW w:type="dxa" w:w="3600"/>
            <w:shd w:fill="FFFFFF" w:val="clear"/>
            <w:tcMar>
              <w:top w:type="dxa" w:w="80"/>
              <w:left w:type="dxa" w:w="100"/>
              <w:bottom w:type="dxa" w:w="80"/>
              <w:right w:type="dxa" w:w="100"/>
            </w:tcMar>
          </w:tcPr>
          <w:p>
            <w:pPr>
              <w:jc w:val="left"/>
            </w:pPr>
            <w:r>
              <w:rPr>
                <w:b w:val="false"/>
                <w:bCs w:val="false"/>
                <w:color w:val="222222"/>
                <w:sz w:val="20"/>
                <w:szCs w:val="20"/>
              </w:rPr>
              <w:t xml:space="preserve">Marketing launch budget</w:t>
            </w:r>
          </w:p>
        </w:tc>
        <w:tc>
          <w:tcPr>
            <w:tcW w:type="dxa" w:w="2100"/>
            <w:shd w:fill="FFFFFF" w:val="clear"/>
            <w:tcMar>
              <w:top w:type="dxa" w:w="80"/>
              <w:left w:type="dxa" w:w="100"/>
              <w:bottom w:type="dxa" w:w="80"/>
              <w:right w:type="dxa" w:w="100"/>
            </w:tcMar>
          </w:tcPr>
          <w:p>
            <w:pPr>
              <w:jc w:val="right"/>
            </w:pPr>
            <w:r>
              <w:rPr>
                <w:b w:val="false"/>
                <w:bCs w:val="false"/>
                <w:color w:val="222222"/>
                <w:sz w:val="20"/>
                <w:szCs w:val="20"/>
              </w:rPr>
              <w:t xml:space="preserve">AED 1,500</w:t>
            </w:r>
          </w:p>
        </w:tc>
        <w:tc>
          <w:tcPr>
            <w:tcW w:type="dxa" w:w="2100"/>
            <w:shd w:fill="FFFFFF" w:val="clear"/>
            <w:tcMar>
              <w:top w:type="dxa" w:w="80"/>
              <w:left w:type="dxa" w:w="100"/>
              <w:bottom w:type="dxa" w:w="80"/>
              <w:right w:type="dxa" w:w="100"/>
            </w:tcMar>
          </w:tcPr>
          <w:p>
            <w:pPr>
              <w:jc w:val="right"/>
            </w:pPr>
            <w:r>
              <w:rPr>
                <w:b w:val="false"/>
                <w:bCs w:val="false"/>
                <w:color w:val="222222"/>
                <w:sz w:val="20"/>
                <w:szCs w:val="20"/>
              </w:rPr>
              <w:t xml:space="preserve">AED 15,000</w:t>
            </w:r>
          </w:p>
        </w:tc>
        <w:tc>
          <w:tcPr>
            <w:tcW w:type="dxa" w:w="2100"/>
            <w:shd w:fill="FFFFFF" w:val="clear"/>
            <w:tcMar>
              <w:top w:type="dxa" w:w="80"/>
              <w:left w:type="dxa" w:w="100"/>
              <w:bottom w:type="dxa" w:w="80"/>
              <w:right w:type="dxa" w:w="100"/>
            </w:tcMar>
          </w:tcPr>
          <w:p>
            <w:pPr>
              <w:jc w:val="right"/>
            </w:pPr>
            <w:r>
              <w:rPr>
                <w:b w:val="false"/>
                <w:bCs w:val="false"/>
                <w:color w:val="222222"/>
                <w:sz w:val="20"/>
                <w:szCs w:val="20"/>
              </w:rPr>
              <w:t xml:space="preserve">AED 60,000</w:t>
            </w:r>
          </w:p>
        </w:tc>
      </w:tr>
      <w:tr>
        <w:tc>
          <w:tcPr>
            <w:tcW w:type="dxa" w:w="3600"/>
            <w:shd w:fill="F4EFE6" w:val="clear"/>
            <w:tcMar>
              <w:top w:type="dxa" w:w="80"/>
              <w:left w:type="dxa" w:w="100"/>
              <w:bottom w:type="dxa" w:w="80"/>
              <w:right w:type="dxa" w:w="100"/>
            </w:tcMar>
          </w:tcPr>
          <w:p>
            <w:pPr>
              <w:jc w:val="left"/>
            </w:pPr>
            <w:r>
              <w:rPr>
                <w:b w:val="false"/>
                <w:bCs w:val="false"/>
                <w:color w:val="222222"/>
                <w:sz w:val="20"/>
                <w:szCs w:val="20"/>
              </w:rPr>
              <w:t xml:space="preserve">Warehouse/storage (deposit + fit-out)</w:t>
            </w:r>
          </w:p>
        </w:tc>
        <w:tc>
          <w:tcPr>
            <w:tcW w:type="dxa" w:w="2100"/>
            <w:shd w:fill="F4EFE6" w:val="clear"/>
            <w:tcMar>
              <w:top w:type="dxa" w:w="80"/>
              <w:left w:type="dxa" w:w="100"/>
              <w:bottom w:type="dxa" w:w="80"/>
              <w:right w:type="dxa" w:w="100"/>
            </w:tcMar>
          </w:tcPr>
          <w:p>
            <w:pPr>
              <w:jc w:val="right"/>
            </w:pPr>
            <w:r>
              <w:rPr>
                <w:b w:val="false"/>
                <w:bCs w:val="false"/>
                <w:color w:val="222222"/>
                <w:sz w:val="20"/>
                <w:szCs w:val="20"/>
              </w:rPr>
              <w:t xml:space="preserve">AED 0 (home-based)</w:t>
            </w:r>
          </w:p>
        </w:tc>
        <w:tc>
          <w:tcPr>
            <w:tcW w:type="dxa" w:w="2100"/>
            <w:shd w:fill="F4EFE6" w:val="clear"/>
            <w:tcMar>
              <w:top w:type="dxa" w:w="80"/>
              <w:left w:type="dxa" w:w="100"/>
              <w:bottom w:type="dxa" w:w="80"/>
              <w:right w:type="dxa" w:w="100"/>
            </w:tcMar>
          </w:tcPr>
          <w:p>
            <w:pPr>
              <w:jc w:val="right"/>
            </w:pPr>
            <w:r>
              <w:rPr>
                <w:b w:val="false"/>
                <w:bCs w:val="false"/>
                <w:color w:val="222222"/>
                <w:sz w:val="20"/>
                <w:szCs w:val="20"/>
              </w:rPr>
              <w:t xml:space="preserve">AED 12,000</w:t>
            </w:r>
          </w:p>
        </w:tc>
        <w:tc>
          <w:tcPr>
            <w:tcW w:type="dxa" w:w="2100"/>
            <w:shd w:fill="F4EFE6" w:val="clear"/>
            <w:tcMar>
              <w:top w:type="dxa" w:w="80"/>
              <w:left w:type="dxa" w:w="100"/>
              <w:bottom w:type="dxa" w:w="80"/>
              <w:right w:type="dxa" w:w="100"/>
            </w:tcMar>
          </w:tcPr>
          <w:p>
            <w:pPr>
              <w:jc w:val="right"/>
            </w:pPr>
            <w:r>
              <w:rPr>
                <w:b w:val="false"/>
                <w:bCs w:val="false"/>
                <w:color w:val="222222"/>
                <w:sz w:val="20"/>
                <w:szCs w:val="20"/>
              </w:rPr>
              <w:t xml:space="preserve">AED 40,000</w:t>
            </w:r>
          </w:p>
        </w:tc>
      </w:tr>
      <w:tr>
        <w:tc>
          <w:tcPr>
            <w:tcW w:type="dxa" w:w="3600"/>
            <w:shd w:fill="FFFFFF" w:val="clear"/>
            <w:tcMar>
              <w:top w:type="dxa" w:w="80"/>
              <w:left w:type="dxa" w:w="100"/>
              <w:bottom w:type="dxa" w:w="80"/>
              <w:right w:type="dxa" w:w="100"/>
            </w:tcMar>
          </w:tcPr>
          <w:p>
            <w:pPr>
              <w:jc w:val="left"/>
            </w:pPr>
            <w:r>
              <w:rPr>
                <w:b w:val="false"/>
                <w:bCs w:val="false"/>
                <w:color w:val="222222"/>
                <w:sz w:val="20"/>
                <w:szCs w:val="20"/>
              </w:rPr>
              <w:t xml:space="preserve">Delivery/courier integration &amp; first-month float</w:t>
            </w:r>
          </w:p>
        </w:tc>
        <w:tc>
          <w:tcPr>
            <w:tcW w:type="dxa" w:w="2100"/>
            <w:shd w:fill="FFFFFF" w:val="clear"/>
            <w:tcMar>
              <w:top w:type="dxa" w:w="80"/>
              <w:left w:type="dxa" w:w="100"/>
              <w:bottom w:type="dxa" w:w="80"/>
              <w:right w:type="dxa" w:w="100"/>
            </w:tcMar>
          </w:tcPr>
          <w:p>
            <w:pPr>
              <w:jc w:val="right"/>
            </w:pPr>
            <w:r>
              <w:rPr>
                <w:b w:val="false"/>
                <w:bCs w:val="false"/>
                <w:color w:val="222222"/>
                <w:sz w:val="20"/>
                <w:szCs w:val="20"/>
              </w:rPr>
              <w:t xml:space="preserve">AED 1,500</w:t>
            </w:r>
          </w:p>
        </w:tc>
        <w:tc>
          <w:tcPr>
            <w:tcW w:type="dxa" w:w="2100"/>
            <w:shd w:fill="FFFFFF" w:val="clear"/>
            <w:tcMar>
              <w:top w:type="dxa" w:w="80"/>
              <w:left w:type="dxa" w:w="100"/>
              <w:bottom w:type="dxa" w:w="80"/>
              <w:right w:type="dxa" w:w="100"/>
            </w:tcMar>
          </w:tcPr>
          <w:p>
            <w:pPr>
              <w:jc w:val="right"/>
            </w:pPr>
            <w:r>
              <w:rPr>
                <w:b w:val="false"/>
                <w:bCs w:val="false"/>
                <w:color w:val="222222"/>
                <w:sz w:val="20"/>
                <w:szCs w:val="20"/>
              </w:rPr>
              <w:t xml:space="preserve">AED 8,000</w:t>
            </w:r>
          </w:p>
        </w:tc>
        <w:tc>
          <w:tcPr>
            <w:tcW w:type="dxa" w:w="2100"/>
            <w:shd w:fill="FFFFFF" w:val="clear"/>
            <w:tcMar>
              <w:top w:type="dxa" w:w="80"/>
              <w:left w:type="dxa" w:w="100"/>
              <w:bottom w:type="dxa" w:w="80"/>
              <w:right w:type="dxa" w:w="100"/>
            </w:tcMar>
          </w:tcPr>
          <w:p>
            <w:pPr>
              <w:jc w:val="right"/>
            </w:pPr>
            <w:r>
              <w:rPr>
                <w:b w:val="false"/>
                <w:bCs w:val="false"/>
                <w:color w:val="222222"/>
                <w:sz w:val="20"/>
                <w:szCs w:val="20"/>
              </w:rPr>
              <w:t xml:space="preserve">AED 25,000</w:t>
            </w:r>
          </w:p>
        </w:tc>
      </w:tr>
      <w:tr>
        <w:tc>
          <w:tcPr>
            <w:tcW w:type="dxa" w:w="3600"/>
            <w:shd w:fill="F4EFE6" w:val="clear"/>
            <w:tcMar>
              <w:top w:type="dxa" w:w="80"/>
              <w:left w:type="dxa" w:w="100"/>
              <w:bottom w:type="dxa" w:w="80"/>
              <w:right w:type="dxa" w:w="100"/>
            </w:tcMar>
          </w:tcPr>
          <w:p>
            <w:pPr>
              <w:jc w:val="left"/>
            </w:pPr>
            <w:r>
              <w:rPr>
                <w:b w:val="false"/>
                <w:bCs w:val="false"/>
                <w:color w:val="222222"/>
                <w:sz w:val="20"/>
                <w:szCs w:val="20"/>
              </w:rPr>
              <w:t xml:space="preserve">Insurance &amp; misc.</w:t>
            </w:r>
          </w:p>
        </w:tc>
        <w:tc>
          <w:tcPr>
            <w:tcW w:type="dxa" w:w="2100"/>
            <w:shd w:fill="F4EFE6" w:val="clear"/>
            <w:tcMar>
              <w:top w:type="dxa" w:w="80"/>
              <w:left w:type="dxa" w:w="100"/>
              <w:bottom w:type="dxa" w:w="80"/>
              <w:right w:type="dxa" w:w="100"/>
            </w:tcMar>
          </w:tcPr>
          <w:p>
            <w:pPr>
              <w:jc w:val="right"/>
            </w:pPr>
            <w:r>
              <w:rPr>
                <w:b w:val="false"/>
                <w:bCs w:val="false"/>
                <w:color w:val="222222"/>
                <w:sz w:val="20"/>
                <w:szCs w:val="20"/>
              </w:rPr>
              <w:t xml:space="preserve">AED 800</w:t>
            </w:r>
          </w:p>
        </w:tc>
        <w:tc>
          <w:tcPr>
            <w:tcW w:type="dxa" w:w="2100"/>
            <w:shd w:fill="F4EFE6" w:val="clear"/>
            <w:tcMar>
              <w:top w:type="dxa" w:w="80"/>
              <w:left w:type="dxa" w:w="100"/>
              <w:bottom w:type="dxa" w:w="80"/>
              <w:right w:type="dxa" w:w="100"/>
            </w:tcMar>
          </w:tcPr>
          <w:p>
            <w:pPr>
              <w:jc w:val="right"/>
            </w:pPr>
            <w:r>
              <w:rPr>
                <w:b w:val="false"/>
                <w:bCs w:val="false"/>
                <w:color w:val="222222"/>
                <w:sz w:val="20"/>
                <w:szCs w:val="20"/>
              </w:rPr>
              <w:t xml:space="preserve">AED 3,000</w:t>
            </w:r>
          </w:p>
        </w:tc>
        <w:tc>
          <w:tcPr>
            <w:tcW w:type="dxa" w:w="2100"/>
            <w:shd w:fill="F4EFE6" w:val="clear"/>
            <w:tcMar>
              <w:top w:type="dxa" w:w="80"/>
              <w:left w:type="dxa" w:w="100"/>
              <w:bottom w:type="dxa" w:w="80"/>
              <w:right w:type="dxa" w:w="100"/>
            </w:tcMar>
          </w:tcPr>
          <w:p>
            <w:pPr>
              <w:jc w:val="right"/>
            </w:pPr>
            <w:r>
              <w:rPr>
                <w:b w:val="false"/>
                <w:bCs w:val="false"/>
                <w:color w:val="222222"/>
                <w:sz w:val="20"/>
                <w:szCs w:val="20"/>
              </w:rPr>
              <w:t xml:space="preserve">AED 8,000</w:t>
            </w:r>
          </w:p>
        </w:tc>
      </w:tr>
      <w:tr>
        <w:tc>
          <w:tcPr>
            <w:tcW w:type="dxa" w:w="3600"/>
            <w:shd w:fill="FFFFFF" w:val="clear"/>
            <w:tcMar>
              <w:top w:type="dxa" w:w="80"/>
              <w:left w:type="dxa" w:w="100"/>
              <w:bottom w:type="dxa" w:w="80"/>
              <w:right w:type="dxa" w:w="100"/>
            </w:tcMar>
          </w:tcPr>
          <w:p>
            <w:pPr>
              <w:jc w:val="left"/>
            </w:pPr>
            <w:r>
              <w:rPr>
                <w:b w:val="false"/>
                <w:bCs w:val="false"/>
                <w:color w:val="222222"/>
                <w:sz w:val="20"/>
                <w:szCs w:val="20"/>
              </w:rPr>
              <w:t xml:space="preserve">Working capital buffer</w:t>
            </w:r>
          </w:p>
        </w:tc>
        <w:tc>
          <w:tcPr>
            <w:tcW w:type="dxa" w:w="2100"/>
            <w:shd w:fill="FFFFFF" w:val="clear"/>
            <w:tcMar>
              <w:top w:type="dxa" w:w="80"/>
              <w:left w:type="dxa" w:w="100"/>
              <w:bottom w:type="dxa" w:w="80"/>
              <w:right w:type="dxa" w:w="100"/>
            </w:tcMar>
          </w:tcPr>
          <w:p>
            <w:pPr>
              <w:jc w:val="right"/>
            </w:pPr>
            <w:r>
              <w:rPr>
                <w:b w:val="false"/>
                <w:bCs w:val="false"/>
                <w:color w:val="222222"/>
                <w:sz w:val="20"/>
                <w:szCs w:val="20"/>
              </w:rPr>
              <w:t xml:space="preserve">AED 2,500</w:t>
            </w:r>
          </w:p>
        </w:tc>
        <w:tc>
          <w:tcPr>
            <w:tcW w:type="dxa" w:w="2100"/>
            <w:shd w:fill="FFFFFF" w:val="clear"/>
            <w:tcMar>
              <w:top w:type="dxa" w:w="80"/>
              <w:left w:type="dxa" w:w="100"/>
              <w:bottom w:type="dxa" w:w="80"/>
              <w:right w:type="dxa" w:w="100"/>
            </w:tcMar>
          </w:tcPr>
          <w:p>
            <w:pPr>
              <w:jc w:val="right"/>
            </w:pPr>
            <w:r>
              <w:rPr>
                <w:b w:val="false"/>
                <w:bCs w:val="false"/>
                <w:color w:val="222222"/>
                <w:sz w:val="20"/>
                <w:szCs w:val="20"/>
              </w:rPr>
              <w:t xml:space="preserve">AED 15,000</w:t>
            </w:r>
          </w:p>
        </w:tc>
        <w:tc>
          <w:tcPr>
            <w:tcW w:type="dxa" w:w="2100"/>
            <w:shd w:fill="FFFFFF" w:val="clear"/>
            <w:tcMar>
              <w:top w:type="dxa" w:w="80"/>
              <w:left w:type="dxa" w:w="100"/>
              <w:bottom w:type="dxa" w:w="80"/>
              <w:right w:type="dxa" w:w="100"/>
            </w:tcMar>
          </w:tcPr>
          <w:p>
            <w:pPr>
              <w:jc w:val="right"/>
            </w:pPr>
            <w:r>
              <w:rPr>
                <w:b w:val="false"/>
                <w:bCs w:val="false"/>
                <w:color w:val="222222"/>
                <w:sz w:val="20"/>
                <w:szCs w:val="20"/>
              </w:rPr>
              <w:t xml:space="preserve">AED 60,000</w:t>
            </w:r>
          </w:p>
        </w:tc>
      </w:tr>
      <w:tr>
        <w:tc>
          <w:tcPr>
            <w:tcW w:type="dxa" w:w="3600"/>
            <w:shd w:fill="F4EFE6" w:val="clear"/>
            <w:tcMar>
              <w:top w:type="dxa" w:w="80"/>
              <w:left w:type="dxa" w:w="100"/>
              <w:bottom w:type="dxa" w:w="80"/>
              <w:right w:type="dxa" w:w="100"/>
            </w:tcMar>
          </w:tcPr>
          <w:p>
            <w:pPr>
              <w:jc w:val="left"/>
            </w:pPr>
            <w:r>
              <w:rPr>
                <w:b w:val="false"/>
                <w:bCs w:val="false"/>
                <w:color w:val="222222"/>
                <w:sz w:val="20"/>
                <w:szCs w:val="20"/>
              </w:rPr>
              <w:t xml:space="preserve">Approx. total</w:t>
            </w:r>
          </w:p>
        </w:tc>
        <w:tc>
          <w:tcPr>
            <w:tcW w:type="dxa" w:w="2100"/>
            <w:shd w:fill="F4EFE6" w:val="clear"/>
            <w:tcMar>
              <w:top w:type="dxa" w:w="80"/>
              <w:left w:type="dxa" w:w="100"/>
              <w:bottom w:type="dxa" w:w="80"/>
              <w:right w:type="dxa" w:w="100"/>
            </w:tcMar>
          </w:tcPr>
          <w:p>
            <w:pPr>
              <w:jc w:val="right"/>
            </w:pPr>
            <w:r>
              <w:rPr>
                <w:b w:val="false"/>
                <w:bCs w:val="false"/>
                <w:color w:val="222222"/>
                <w:sz w:val="20"/>
                <w:szCs w:val="20"/>
              </w:rPr>
              <w:t xml:space="preserve">AED 16,300</w:t>
            </w:r>
          </w:p>
        </w:tc>
        <w:tc>
          <w:tcPr>
            <w:tcW w:type="dxa" w:w="2100"/>
            <w:shd w:fill="F4EFE6" w:val="clear"/>
            <w:tcMar>
              <w:top w:type="dxa" w:w="80"/>
              <w:left w:type="dxa" w:w="100"/>
              <w:bottom w:type="dxa" w:w="80"/>
              <w:right w:type="dxa" w:w="100"/>
            </w:tcMar>
          </w:tcPr>
          <w:p>
            <w:pPr>
              <w:jc w:val="right"/>
            </w:pPr>
            <w:r>
              <w:rPr>
                <w:b w:val="false"/>
                <w:bCs w:val="false"/>
                <w:color w:val="222222"/>
                <w:sz w:val="20"/>
                <w:szCs w:val="20"/>
              </w:rPr>
              <w:t xml:space="preserve">AED 96,000</w:t>
            </w:r>
          </w:p>
        </w:tc>
        <w:tc>
          <w:tcPr>
            <w:tcW w:type="dxa" w:w="2100"/>
            <w:shd w:fill="F4EFE6" w:val="clear"/>
            <w:tcMar>
              <w:top w:type="dxa" w:w="80"/>
              <w:left w:type="dxa" w:w="100"/>
              <w:bottom w:type="dxa" w:w="80"/>
              <w:right w:type="dxa" w:w="100"/>
            </w:tcMar>
          </w:tcPr>
          <w:p>
            <w:pPr>
              <w:jc w:val="right"/>
            </w:pPr>
            <w:r>
              <w:rPr>
                <w:b w:val="false"/>
                <w:bCs w:val="false"/>
                <w:color w:val="222222"/>
                <w:sz w:val="20"/>
                <w:szCs w:val="20"/>
              </w:rPr>
              <w:t xml:space="preserve">AED 300,000</w:t>
            </w:r>
          </w:p>
        </w:tc>
      </w:tr>
    </w:tbl>
    <w:p>
      <w:pPr>
        <w:pStyle w:val="Heading2"/>
        <w:spacing w:after="120" w:before="280"/>
      </w:pPr>
      <w:r>
        <w:rPr>
          <w:b/>
          <w:bCs/>
          <w:color w:val="1F3B33"/>
          <w:sz w:val="24"/>
          <w:szCs w:val="24"/>
        </w:rPr>
        <w:t xml:space="preserve">8.2 Illustrative unit economics</w:t>
      </w:r>
    </w:p>
    <w:p>
      <w:pPr>
        <w:spacing w:after="160" w:line="300"/>
      </w:pPr>
      <w:r>
        <w:rPr>
          <w:color w:val="222222"/>
          <w:sz w:val="21"/>
          <w:szCs w:val="21"/>
        </w:rPr>
        <w:t xml:space="preserve">Example on a 250g bag sourced from a partner roaster on consignment: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400"/>
        <w:gridCol w:w="4400"/>
      </w:tblGrid>
      <w:tr>
        <w:tc>
          <w:tcPr>
            <w:tcW w:type="dxa" w:w="4400"/>
            <w:shd w:fill="1F3B33" w:val="clear"/>
            <w:tcMar>
              <w:top w:type="dxa" w:w="80"/>
              <w:left w:type="dxa" w:w="100"/>
              <w:bottom w:type="dxa" w:w="80"/>
              <w:right w:type="dxa" w:w="100"/>
            </w:tcMar>
          </w:tcPr>
          <w:p>
            <w:pPr>
              <w:jc w:val="left"/>
            </w:pPr>
            <w:r>
              <w:rPr>
                <w:b/>
                <w:bCs/>
                <w:color w:val="FFFFFF"/>
                <w:sz w:val="20"/>
                <w:szCs w:val="20"/>
              </w:rPr>
              <w:t xml:space="preserve">Item</w:t>
            </w:r>
          </w:p>
        </w:tc>
        <w:tc>
          <w:tcPr>
            <w:tcW w:type="dxa" w:w="4400"/>
            <w:shd w:fill="1F3B33" w:val="clear"/>
            <w:tcMar>
              <w:top w:type="dxa" w:w="80"/>
              <w:left w:type="dxa" w:w="100"/>
              <w:bottom w:type="dxa" w:w="80"/>
              <w:right w:type="dxa" w:w="100"/>
            </w:tcMar>
          </w:tcPr>
          <w:p>
            <w:pPr>
              <w:jc w:val="right"/>
            </w:pPr>
            <w:r>
              <w:rPr>
                <w:b/>
                <w:bCs/>
                <w:color w:val="FFFFFF"/>
                <w:sz w:val="20"/>
                <w:szCs w:val="20"/>
              </w:rPr>
              <w:t xml:space="preserve">Amount</w:t>
            </w:r>
          </w:p>
        </w:tc>
      </w:tr>
      <w:tr>
        <w:tc>
          <w:tcPr>
            <w:tcW w:type="dxa" w:w="4400"/>
            <w:shd w:fill="FFFFFF" w:val="clear"/>
            <w:tcMar>
              <w:top w:type="dxa" w:w="80"/>
              <w:left w:type="dxa" w:w="100"/>
              <w:bottom w:type="dxa" w:w="80"/>
              <w:right w:type="dxa" w:w="100"/>
            </w:tcMar>
          </w:tcPr>
          <w:p>
            <w:pPr>
              <w:jc w:val="left"/>
            </w:pPr>
            <w:r>
              <w:rPr>
                <w:b w:val="false"/>
                <w:bCs w:val="false"/>
                <w:color w:val="222222"/>
                <w:sz w:val="20"/>
                <w:szCs w:val="20"/>
              </w:rPr>
              <w:t xml:space="preserve">Retail price (incl. 5% VAT)</w:t>
            </w:r>
          </w:p>
        </w:tc>
        <w:tc>
          <w:tcPr>
            <w:tcW w:type="dxa" w:w="4400"/>
            <w:shd w:fill="FFFFFF" w:val="clear"/>
            <w:tcMar>
              <w:top w:type="dxa" w:w="80"/>
              <w:left w:type="dxa" w:w="100"/>
              <w:bottom w:type="dxa" w:w="80"/>
              <w:right w:type="dxa" w:w="100"/>
            </w:tcMar>
          </w:tcPr>
          <w:p>
            <w:pPr>
              <w:jc w:val="right"/>
            </w:pPr>
            <w:r>
              <w:rPr>
                <w:b w:val="false"/>
                <w:bCs w:val="false"/>
                <w:color w:val="222222"/>
                <w:sz w:val="20"/>
                <w:szCs w:val="20"/>
              </w:rPr>
              <w:t xml:space="preserve">AED 55.00</w:t>
            </w:r>
          </w:p>
        </w:tc>
      </w:tr>
      <w:tr>
        <w:tc>
          <w:tcPr>
            <w:tcW w:type="dxa" w:w="4400"/>
            <w:shd w:fill="F4EFE6" w:val="clear"/>
            <w:tcMar>
              <w:top w:type="dxa" w:w="80"/>
              <w:left w:type="dxa" w:w="100"/>
              <w:bottom w:type="dxa" w:w="80"/>
              <w:right w:type="dxa" w:w="100"/>
            </w:tcMar>
          </w:tcPr>
          <w:p>
            <w:pPr>
              <w:jc w:val="left"/>
            </w:pPr>
            <w:r>
              <w:rPr>
                <w:b w:val="false"/>
                <w:bCs w:val="false"/>
                <w:color w:val="222222"/>
                <w:sz w:val="20"/>
                <w:szCs w:val="20"/>
              </w:rPr>
              <w:t xml:space="preserve">Roaster's consignment cost (~55% of ex-VAT price)</w:t>
            </w:r>
          </w:p>
        </w:tc>
        <w:tc>
          <w:tcPr>
            <w:tcW w:type="dxa" w:w="4400"/>
            <w:shd w:fill="F4EFE6" w:val="clear"/>
            <w:tcMar>
              <w:top w:type="dxa" w:w="80"/>
              <w:left w:type="dxa" w:w="100"/>
              <w:bottom w:type="dxa" w:w="80"/>
              <w:right w:type="dxa" w:w="100"/>
            </w:tcMar>
          </w:tcPr>
          <w:p>
            <w:pPr>
              <w:jc w:val="right"/>
            </w:pPr>
            <w:r>
              <w:rPr>
                <w:b w:val="false"/>
                <w:bCs w:val="false"/>
                <w:color w:val="222222"/>
                <w:sz w:val="20"/>
                <w:szCs w:val="20"/>
              </w:rPr>
              <w:t xml:space="preserve">AED 28.80</w:t>
            </w:r>
          </w:p>
        </w:tc>
      </w:tr>
      <w:tr>
        <w:tc>
          <w:tcPr>
            <w:tcW w:type="dxa" w:w="4400"/>
            <w:shd w:fill="FFFFFF" w:val="clear"/>
            <w:tcMar>
              <w:top w:type="dxa" w:w="80"/>
              <w:left w:type="dxa" w:w="100"/>
              <w:bottom w:type="dxa" w:w="80"/>
              <w:right w:type="dxa" w:w="100"/>
            </w:tcMar>
          </w:tcPr>
          <w:p>
            <w:pPr>
              <w:jc w:val="left"/>
            </w:pPr>
            <w:r>
              <w:rPr>
                <w:b w:val="false"/>
                <w:bCs w:val="false"/>
                <w:color w:val="222222"/>
                <w:sz w:val="20"/>
                <w:szCs w:val="20"/>
              </w:rPr>
              <w:t xml:space="preserve">Packaging &amp; outer box (shared across order)</w:t>
            </w:r>
          </w:p>
        </w:tc>
        <w:tc>
          <w:tcPr>
            <w:tcW w:type="dxa" w:w="4400"/>
            <w:shd w:fill="FFFFFF" w:val="clear"/>
            <w:tcMar>
              <w:top w:type="dxa" w:w="80"/>
              <w:left w:type="dxa" w:w="100"/>
              <w:bottom w:type="dxa" w:w="80"/>
              <w:right w:type="dxa" w:w="100"/>
            </w:tcMar>
          </w:tcPr>
          <w:p>
            <w:pPr>
              <w:jc w:val="right"/>
            </w:pPr>
            <w:r>
              <w:rPr>
                <w:b w:val="false"/>
                <w:bCs w:val="false"/>
                <w:color w:val="222222"/>
                <w:sz w:val="20"/>
                <w:szCs w:val="20"/>
              </w:rPr>
              <w:t xml:space="preserve">AED 3.50</w:t>
            </w:r>
          </w:p>
        </w:tc>
      </w:tr>
      <w:tr>
        <w:tc>
          <w:tcPr>
            <w:tcW w:type="dxa" w:w="4400"/>
            <w:shd w:fill="F4EFE6" w:val="clear"/>
            <w:tcMar>
              <w:top w:type="dxa" w:w="80"/>
              <w:left w:type="dxa" w:w="100"/>
              <w:bottom w:type="dxa" w:w="80"/>
              <w:right w:type="dxa" w:w="100"/>
            </w:tcMar>
          </w:tcPr>
          <w:p>
            <w:pPr>
              <w:jc w:val="left"/>
            </w:pPr>
            <w:r>
              <w:rPr>
                <w:b w:val="false"/>
                <w:bCs w:val="false"/>
                <w:color w:val="222222"/>
                <w:sz w:val="20"/>
                <w:szCs w:val="20"/>
              </w:rPr>
              <w:t xml:space="preserve">Delivery cost (blended, absorbed into price)</w:t>
            </w:r>
          </w:p>
        </w:tc>
        <w:tc>
          <w:tcPr>
            <w:tcW w:type="dxa" w:w="4400"/>
            <w:shd w:fill="F4EFE6" w:val="clear"/>
            <w:tcMar>
              <w:top w:type="dxa" w:w="80"/>
              <w:left w:type="dxa" w:w="100"/>
              <w:bottom w:type="dxa" w:w="80"/>
              <w:right w:type="dxa" w:w="100"/>
            </w:tcMar>
          </w:tcPr>
          <w:p>
            <w:pPr>
              <w:jc w:val="right"/>
            </w:pPr>
            <w:r>
              <w:rPr>
                <w:b w:val="false"/>
                <w:bCs w:val="false"/>
                <w:color w:val="222222"/>
                <w:sz w:val="20"/>
                <w:szCs w:val="20"/>
              </w:rPr>
              <w:t xml:space="preserve">AED 9.00</w:t>
            </w:r>
          </w:p>
        </w:tc>
      </w:tr>
      <w:tr>
        <w:tc>
          <w:tcPr>
            <w:tcW w:type="dxa" w:w="4400"/>
            <w:shd w:fill="FFFFFF" w:val="clear"/>
            <w:tcMar>
              <w:top w:type="dxa" w:w="80"/>
              <w:left w:type="dxa" w:w="100"/>
              <w:bottom w:type="dxa" w:w="80"/>
              <w:right w:type="dxa" w:w="100"/>
            </w:tcMar>
          </w:tcPr>
          <w:p>
            <w:pPr>
              <w:jc w:val="left"/>
            </w:pPr>
            <w:r>
              <w:rPr>
                <w:b w:val="false"/>
                <w:bCs w:val="false"/>
                <w:color w:val="222222"/>
                <w:sz w:val="20"/>
                <w:szCs w:val="20"/>
              </w:rPr>
              <w:t xml:space="preserve">Payment gateway fee (~2.5%)</w:t>
            </w:r>
          </w:p>
        </w:tc>
        <w:tc>
          <w:tcPr>
            <w:tcW w:type="dxa" w:w="4400"/>
            <w:shd w:fill="FFFFFF" w:val="clear"/>
            <w:tcMar>
              <w:top w:type="dxa" w:w="80"/>
              <w:left w:type="dxa" w:w="100"/>
              <w:bottom w:type="dxa" w:w="80"/>
              <w:right w:type="dxa" w:w="100"/>
            </w:tcMar>
          </w:tcPr>
          <w:p>
            <w:pPr>
              <w:jc w:val="right"/>
            </w:pPr>
            <w:r>
              <w:rPr>
                <w:b w:val="false"/>
                <w:bCs w:val="false"/>
                <w:color w:val="222222"/>
                <w:sz w:val="20"/>
                <w:szCs w:val="20"/>
              </w:rPr>
              <w:t xml:space="preserve">AED 1.30</w:t>
            </w:r>
          </w:p>
        </w:tc>
      </w:tr>
      <w:tr>
        <w:tc>
          <w:tcPr>
            <w:tcW w:type="dxa" w:w="4400"/>
            <w:shd w:fill="F4EFE6" w:val="clear"/>
            <w:tcMar>
              <w:top w:type="dxa" w:w="80"/>
              <w:left w:type="dxa" w:w="100"/>
              <w:bottom w:type="dxa" w:w="80"/>
              <w:right w:type="dxa" w:w="100"/>
            </w:tcMar>
          </w:tcPr>
          <w:p>
            <w:pPr>
              <w:jc w:val="left"/>
            </w:pPr>
            <w:r>
              <w:rPr>
                <w:b w:val="false"/>
                <w:bCs w:val="false"/>
                <w:color w:val="222222"/>
                <w:sz w:val="20"/>
                <w:szCs w:val="20"/>
              </w:rPr>
              <w:t xml:space="preserve">Gross margin per bag</w:t>
            </w:r>
          </w:p>
        </w:tc>
        <w:tc>
          <w:tcPr>
            <w:tcW w:type="dxa" w:w="4400"/>
            <w:shd w:fill="F4EFE6" w:val="clear"/>
            <w:tcMar>
              <w:top w:type="dxa" w:w="80"/>
              <w:left w:type="dxa" w:w="100"/>
              <w:bottom w:type="dxa" w:w="80"/>
              <w:right w:type="dxa" w:w="100"/>
            </w:tcMar>
          </w:tcPr>
          <w:p>
            <w:pPr>
              <w:jc w:val="right"/>
            </w:pPr>
            <w:r>
              <w:rPr>
                <w:b w:val="false"/>
                <w:bCs w:val="false"/>
                <w:color w:val="222222"/>
                <w:sz w:val="20"/>
                <w:szCs w:val="20"/>
              </w:rPr>
              <w:t xml:space="preserve">AED 12.40 (~23%)</w:t>
            </w:r>
          </w:p>
        </w:tc>
      </w:tr>
    </w:tbl>
    <w:p>
      <w:pPr>
        <w:spacing w:after="160" w:line="300"/>
      </w:pPr>
      <w:r>
        <w:rPr>
          <w:color w:val="222222"/>
          <w:sz w:val="21"/>
          <w:szCs w:val="21"/>
        </w:rPr>
        <w:t xml:space="preserve">Margins are thinner than a house-roasted model because the roaster takes the largest share — this is the tradeoff for zero manufacturing risk. The Discovery Sampler carries a lower absolute margin per bag but a higher conversion rate, and is priced primarily to acquire a customer, not to profit on the first order.</w:t>
      </w:r>
    </w:p>
    <w:p>
      <w:pPr>
        <w:pStyle w:val="Heading2"/>
        <w:spacing w:after="120" w:before="280"/>
      </w:pPr>
      <w:r>
        <w:rPr>
          <w:b/>
          <w:bCs/>
          <w:color w:val="1F3B33"/>
          <w:sz w:val="24"/>
          <w:szCs w:val="24"/>
        </w:rPr>
        <w:t xml:space="preserve">8.3 Break-even, rough guide</w:t>
      </w:r>
    </w:p>
    <w:p>
      <w:pPr>
        <w:pStyle w:val="ListParagraph"/>
        <w:numPr>
          <w:ilvl w:val="0"/>
          <w:numId w:val="2"/>
        </w:numPr>
        <w:spacing w:after="80" w:line="280"/>
      </w:pPr>
      <w:r>
        <w:rPr>
          <w:color w:val="222222"/>
          <w:sz w:val="21"/>
          <w:szCs w:val="21"/>
        </w:rPr>
        <w:t xml:space="preserve">Lean tier: roughly 1,300 bags sold (about 110/month) to recover the ~AED 16,300 startup cost at AED 12.40 gross margin/bag — realistic within 9–12 months for a part-time, home-based operation with 5–8 roaster partners.</w:t>
      </w:r>
    </w:p>
    <w:p>
      <w:pPr>
        <w:pStyle w:val="ListParagraph"/>
        <w:numPr>
          <w:ilvl w:val="0"/>
          <w:numId w:val="2"/>
        </w:numPr>
        <w:spacing w:after="80" w:line="280"/>
      </w:pPr>
      <w:r>
        <w:rPr>
          <w:color w:val="222222"/>
          <w:sz w:val="21"/>
          <w:szCs w:val="21"/>
        </w:rPr>
        <w:t xml:space="preserve">Moderate tier: higher marketing spend accelerates order volume and roaster-roster growth, which is the main lever on total margin (more SKUs → more comparison value → higher conversion); target break-even within 10–14 months.</w:t>
      </w:r>
    </w:p>
    <w:p>
      <w:pPr>
        <w:pStyle w:val="ListParagraph"/>
        <w:numPr>
          <w:ilvl w:val="0"/>
          <w:numId w:val="2"/>
        </w:numPr>
        <w:spacing w:after="80" w:line="280"/>
      </w:pPr>
      <w:r>
        <w:rPr>
          <w:color w:val="222222"/>
          <w:sz w:val="21"/>
          <w:szCs w:val="21"/>
        </w:rPr>
        <w:t xml:space="preserve">Track two numbers monthly beyond revenue: number of active roaster partners (catalog breadth is the product) and repeat-purchase rate within 60 days (the real test of whether comparison shopping beats loyalty to one roaster).</w:t>
      </w:r>
    </w:p>
    <w:p>
      <w:pPr>
        <w:pStyle w:val="Heading1"/>
        <w:pBdr>
          <w:bottom w:val="single" w:color="B08944" w:sz="6" w:space="4"/>
        </w:pBdr>
        <w:spacing w:after="200" w:before="400"/>
      </w:pPr>
      <w:r>
        <w:rPr>
          <w:b/>
          <w:bCs/>
          <w:color w:val="1F3B33"/>
          <w:sz w:val="30"/>
          <w:szCs w:val="30"/>
        </w:rPr>
        <w:t xml:space="preserve">9. Milestones — First 90 Days</w:t>
      </w:r>
    </w:p>
    <w:p>
      <w:pPr>
        <w:pStyle w:val="ListParagraph"/>
        <w:numPr>
          <w:ilvl w:val="0"/>
          <w:numId w:val="2"/>
        </w:numPr>
        <w:spacing w:after="80" w:line="280"/>
      </w:pPr>
      <w:r>
        <w:rPr>
          <w:color w:val="222222"/>
          <w:sz w:val="21"/>
          <w:szCs w:val="21"/>
        </w:rPr>
        <w:t xml:space="preserve">Days 1–15: Register the free-zone e-commerce license; approach 8–12 candidate UAE roasters with a consignment-partnership pitch; aim to sign 5–8.</w:t>
      </w:r>
    </w:p>
    <w:p>
      <w:pPr>
        <w:pStyle w:val="ListParagraph"/>
        <w:numPr>
          <w:ilvl w:val="0"/>
          <w:numId w:val="2"/>
        </w:numPr>
        <w:spacing w:after="80" w:line="280"/>
      </w:pPr>
      <w:r>
        <w:rPr>
          <w:color w:val="222222"/>
          <w:sz w:val="21"/>
          <w:szCs w:val="21"/>
        </w:rPr>
        <w:t xml:space="preserve">Days 16–30: Finalize the launch catalog (one flagship bag per roaster, placed on the roast line); build the bilingual storefront; set up one courier for Dubai and one for UAE-wide.</w:t>
      </w:r>
    </w:p>
    <w:p>
      <w:pPr>
        <w:pStyle w:val="ListParagraph"/>
        <w:numPr>
          <w:ilvl w:val="0"/>
          <w:numId w:val="2"/>
        </w:numPr>
        <w:spacing w:after="80" w:line="280"/>
      </w:pPr>
      <w:r>
        <w:rPr>
          <w:color w:val="222222"/>
          <w:sz w:val="21"/>
          <w:szCs w:val="21"/>
        </w:rPr>
        <w:t xml:space="preserve">Days 31–45: Soft-launch to a personal network and each partner roaster's audience at a founding-customer discount; collect feedback on delivery speed and packaging.</w:t>
      </w:r>
    </w:p>
    <w:p>
      <w:pPr>
        <w:pStyle w:val="ListParagraph"/>
        <w:numPr>
          <w:ilvl w:val="0"/>
          <w:numId w:val="2"/>
        </w:numPr>
        <w:spacing w:after="80" w:line="280"/>
      </w:pPr>
      <w:r>
        <w:rPr>
          <w:color w:val="222222"/>
          <w:sz w:val="21"/>
          <w:szCs w:val="21"/>
        </w:rPr>
        <w:t xml:space="preserve">Days 46–60: Public launch across Instagram/TikTok in both languages; push the Discovery Sampler as the primary paid-acquisition offer.</w:t>
      </w:r>
    </w:p>
    <w:p>
      <w:pPr>
        <w:pStyle w:val="ListParagraph"/>
        <w:numPr>
          <w:ilvl w:val="0"/>
          <w:numId w:val="2"/>
        </w:numPr>
        <w:spacing w:after="80" w:line="280"/>
      </w:pPr>
      <w:r>
        <w:rPr>
          <w:color w:val="222222"/>
          <w:sz w:val="21"/>
          <w:szCs w:val="21"/>
        </w:rPr>
        <w:t xml:space="preserve">Days 61–90: Review sales by roaster and SKU; renegotiate or drop underperforming partners; decide whether to add 3–5 more roasters or deepen inventory with the current roster.</w:t>
      </w:r>
    </w:p>
    <w:p>
      <w:pPr>
        <w:pStyle w:val="Heading1"/>
        <w:pBdr>
          <w:bottom w:val="single" w:color="B08944" w:sz="6" w:space="4"/>
        </w:pBdr>
        <w:spacing w:after="200" w:before="400"/>
      </w:pPr>
      <w:r>
        <w:rPr>
          <w:b/>
          <w:bCs/>
          <w:color w:val="1F3B33"/>
          <w:sz w:val="30"/>
          <w:szCs w:val="30"/>
        </w:rPr>
        <w:t xml:space="preserve">10. Key Risks &amp; Mitigation</w:t>
      </w:r>
    </w:p>
    <w:p>
      <w:pPr>
        <w:pStyle w:val="ListParagraph"/>
        <w:numPr>
          <w:ilvl w:val="0"/>
          <w:numId w:val="2"/>
        </w:numPr>
        <w:spacing w:after="80" w:line="280"/>
      </w:pPr>
      <w:r>
        <w:rPr>
          <w:color w:val="222222"/>
          <w:sz w:val="21"/>
          <w:szCs w:val="21"/>
        </w:rPr>
        <w:t xml:space="preserve">Roaster freshness/consistency outside direct control — mitigate with a hard shelf-life cap per partner and spot-checking batches before they're listed.</w:t>
      </w:r>
    </w:p>
    <w:p>
      <w:pPr>
        <w:pStyle w:val="ListParagraph"/>
        <w:numPr>
          <w:ilvl w:val="0"/>
          <w:numId w:val="2"/>
        </w:numPr>
        <w:spacing w:after="80" w:line="280"/>
      </w:pPr>
      <w:r>
        <w:rPr>
          <w:color w:val="222222"/>
          <w:sz w:val="21"/>
          <w:szCs w:val="21"/>
        </w:rPr>
        <w:t xml:space="preserve">Thin consignment margins limiting paid-acquisition budget — mitigate by shifting fast-moving SKUs to wholesale purchase (better margin) once sales data supports the cash commitment.</w:t>
      </w:r>
    </w:p>
    <w:p>
      <w:pPr>
        <w:pStyle w:val="ListParagraph"/>
        <w:numPr>
          <w:ilvl w:val="0"/>
          <w:numId w:val="2"/>
        </w:numPr>
        <w:spacing w:after="80" w:line="280"/>
      </w:pPr>
      <w:r>
        <w:rPr>
          <w:color w:val="222222"/>
          <w:sz w:val="21"/>
          <w:szCs w:val="21"/>
        </w:rPr>
        <w:t xml:space="preserve">Roaster channel conflict — a partner may worry the marketplace cannibalizes their own site; mitigate by pitching it explicitly as incremental distribution (their audience plus the marketplace's), not a replacement.</w:t>
      </w:r>
    </w:p>
    <w:p>
      <w:pPr>
        <w:pStyle w:val="ListParagraph"/>
        <w:numPr>
          <w:ilvl w:val="0"/>
          <w:numId w:val="2"/>
        </w:numPr>
        <w:spacing w:after="80" w:line="280"/>
      </w:pPr>
      <w:r>
        <w:rPr>
          <w:color w:val="222222"/>
          <w:sz w:val="21"/>
          <w:szCs w:val="21"/>
        </w:rPr>
        <w:t xml:space="preserve">Delivery cost eating margin on small orders — mitigate with a minimum order value for free/absorbed delivery, tuned once real courier rates are confirmed.</w:t>
      </w:r>
    </w:p>
    <w:p>
      <w:pPr>
        <w:pStyle w:val="Heading1"/>
        <w:pBdr>
          <w:bottom w:val="single" w:color="B08944" w:sz="6" w:space="4"/>
        </w:pBdr>
        <w:spacing w:after="200" w:before="400"/>
      </w:pPr>
      <w:r>
        <w:rPr>
          <w:b/>
          <w:bCs/>
          <w:color w:val="1F3B33"/>
          <w:sz w:val="30"/>
          <w:szCs w:val="30"/>
        </w:rPr>
        <w:t xml:space="preserve">11. Next Steps</w:t>
      </w:r>
    </w:p>
    <w:p>
      <w:pPr>
        <w:spacing w:after="160" w:line="300"/>
      </w:pPr>
      <w:r>
        <w:rPr>
          <w:color w:val="222222"/>
          <w:sz w:val="21"/>
          <w:szCs w:val="21"/>
        </w:rPr>
        <w:t xml:space="preserve">This document is a working draft intended to be edited as decisions firm up (final business name, confirmed roaster partners, exact budget tier). The next concrete step is approaching 8–12 UAE specialty roasters with the consignment-partnership pitch, since the catalog — not the storefront — is what the business actually depends 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2026-08-10T12:42:49.448Z</dcterms:created>
  <dcterms:modified xsi:type="dcterms:W3CDTF">2026-08-10T12:42:49.481Z</dcterms:modified>
</cp:coreProperties>
</file>

<file path=docProps/custom.xml><?xml version="1.0" encoding="utf-8"?>
<Properties xmlns="http://schemas.openxmlformats.org/officeDocument/2006/custom-properties" xmlns:vt="http://schemas.openxmlformats.org/officeDocument/2006/docPropsVTypes"/>
</file>