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Predicting SGD Dynamics via Volterra Integral Equations</w:t>
      </w:r>
    </w:p>
    <w:p>
      <w:pPr>
        <w:jc w:val="center"/>
      </w:pPr>
      <w:r>
        <w:t>COMP450 - Learning Theory from First Principles</w:t>
      </w:r>
    </w:p>
    <w:p>
      <w:pPr>
        <w:jc w:val="center"/>
      </w:pPr>
      <w:r>
        <w:t>Yigit Kaltas, Kaan</w:t>
      </w:r>
    </w:p>
    <w:p/>
    <w:p>
      <w:pPr>
        <w:pStyle w:val="Heading1"/>
      </w:pPr>
      <w:r>
        <w:t>Abstract</w:t>
      </w:r>
    </w:p>
    <w:p>
      <w:r>
        <w:t>We validate that the Volterra Integral Equation predicts Stochastic Gradient Descent (SGD) dynamics with 99% accuracy on MNIST random features. The eigenvalue spectrum of the feature matrix alone determines training behavior. We demonstrate theory robustness through three extensions: non-linear targets, whitened data, and real classification labels.</w:t>
      </w:r>
    </w:p>
    <w:p>
      <w:pPr>
        <w:pStyle w:val="Heading1"/>
      </w:pPr>
      <w:r>
        <w:t>1. Introduction &amp; Motivation</w:t>
      </w:r>
    </w:p>
    <w:p>
      <w:r>
        <w:t>Central Question: Can we predict SGD loss curves from eigenvalues alone?</w:t>
        <w:br/>
        <w:br/>
        <w:t>For least squares f(x) = (1/2n)||Ax - b||², the Volterra theory predicts that loss evolution depends only on eigenvalues of A^T A. The key theoretical prediction is that the critical step size is γ_max = 2/(r × mean(λ)), where r = d/n is the aspect ratio.</w:t>
      </w:r>
    </w:p>
    <w:p>
      <w:pPr>
        <w:pStyle w:val="Heading1"/>
      </w:pPr>
      <w:r>
        <w:t>2. Experimental Setup</w:t>
      </w:r>
    </w:p>
    <w:p>
      <w:r>
        <w:t>Data: MNIST (n = 3000 samples, 784 pixels)</w:t>
        <w:br/>
        <w:br/>
        <w:t>Random Features: A = shifted_ReLU(X @ W / √d)</w:t>
        <w:br/>
        <w:t>• W: Random Gaussian weights (fixed, not trained)</w:t>
        <w:br/>
        <w:t>• Per-column centering applied</w:t>
        <w:br/>
        <w:br/>
        <w:t>Aspect Ratios: r = d/n ∈ {0.5, 1.0, 1.5}</w:t>
        <w:br/>
        <w:br/>
        <w:t>Four Experiments:</w:t>
        <w:br/>
        <w:t>1. Base: Planted targets b = A @ x*</w:t>
        <w:br/>
        <w:t>2. Non-linear: b = ReLU(A @ x*)</w:t>
        <w:br/>
        <w:t>3. Whitened: Whitening transform on X before features</w:t>
        <w:br/>
        <w:t>4. Real Labels: Y = one_hot(MNIST labels)</w:t>
      </w:r>
    </w:p>
    <w:p>
      <w:pPr>
        <w:pStyle w:val="Heading1"/>
      </w:pPr>
      <w:r>
        <w:t>3. Experiment 1: Base Validation</w:t>
      </w:r>
    </w:p>
    <w:p>
      <w:r>
        <w:t>Result: 99% Correlation Between Volterra Prediction and SGD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Aspect Ratio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Spectral Ratio</w:t>
            </w:r>
          </w:p>
        </w:tc>
        <w:tc>
          <w:tcPr>
            <w:tcW w:type="dxa" w:w="1728"/>
          </w:tcPr>
          <w:p>
            <w:r>
              <w:t>γ_theory</w:t>
            </w:r>
          </w:p>
        </w:tc>
        <w:tc>
          <w:tcPr>
            <w:tcW w:type="dxa" w:w="1728"/>
          </w:tcPr>
          <w:p>
            <w:r>
              <w:t>γ_safe</w:t>
            </w:r>
          </w:p>
        </w:tc>
      </w:tr>
      <w:tr>
        <w:tc>
          <w:tcPr>
            <w:tcW w:type="dxa" w:w="1728"/>
          </w:tcPr>
          <w:p>
            <w:r>
              <w:t>r = 0.5</w:t>
            </w:r>
          </w:p>
        </w:tc>
        <w:tc>
          <w:tcPr>
            <w:tcW w:type="dxa" w:w="1728"/>
          </w:tcPr>
          <w:p>
            <w:r>
              <w:t>98.99%</w:t>
            </w:r>
          </w:p>
        </w:tc>
        <w:tc>
          <w:tcPr>
            <w:tcW w:type="dxa" w:w="1728"/>
          </w:tcPr>
          <w:p>
            <w:r>
              <w:t>133.2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0.015</w:t>
            </w:r>
          </w:p>
        </w:tc>
      </w:tr>
      <w:tr>
        <w:tc>
          <w:tcPr>
            <w:tcW w:type="dxa" w:w="1728"/>
          </w:tcPr>
          <w:p>
            <w:r>
              <w:t>r = 1.0</w:t>
            </w:r>
          </w:p>
        </w:tc>
        <w:tc>
          <w:tcPr>
            <w:tcW w:type="dxa" w:w="1728"/>
          </w:tcPr>
          <w:p>
            <w:r>
              <w:t>99.04%</w:t>
            </w:r>
          </w:p>
        </w:tc>
        <w:tc>
          <w:tcPr>
            <w:tcW w:type="dxa" w:w="1728"/>
          </w:tcPr>
          <w:p>
            <w:r>
              <w:t>270.6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</w:tr>
      <w:tr>
        <w:tc>
          <w:tcPr>
            <w:tcW w:type="dxa" w:w="1728"/>
          </w:tcPr>
          <w:p>
            <w:r>
              <w:t>r = 1.5</w:t>
            </w:r>
          </w:p>
        </w:tc>
        <w:tc>
          <w:tcPr>
            <w:tcW w:type="dxa" w:w="1728"/>
          </w:tcPr>
          <w:p>
            <w:r>
              <w:t>98.44%</w:t>
            </w:r>
          </w:p>
        </w:tc>
        <w:tc>
          <w:tcPr>
            <w:tcW w:type="dxa" w:w="1728"/>
          </w:tcPr>
          <w:p>
            <w:r>
              <w:t>272.4</w:t>
            </w:r>
          </w:p>
        </w:tc>
        <w:tc>
          <w:tcPr>
            <w:tcW w:type="dxa" w:w="1728"/>
          </w:tcPr>
          <w:p>
            <w:r>
              <w:t>1.33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</w:tr>
    </w:tbl>
    <w:p/>
    <w:p>
      <w:r>
        <w:t>Figure 1: Loss Curves - Volterra Prediction vs Actual SGD</w:t>
      </w:r>
    </w:p>
    <w:p>
      <w:r>
        <w:drawing>
          <wp:inline xmlns:a="http://schemas.openxmlformats.org/drawingml/2006/main" xmlns:pic="http://schemas.openxmlformats.org/drawingml/2006/picture">
            <wp:extent cx="5486400" cy="1814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4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2: Eigenvalue Spectrum vs Marchenko-Pastur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1814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envalue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40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Key Finding: Theory-Practice Gap = 180-270x</w:t>
        <w:br/>
        <w:br/>
        <w:t>Why? MNIST violates Gaussian assumptions:</w:t>
        <w:br/>
        <w:t>• Spatial correlation between pixels</w:t>
        <w:br/>
        <w:t>• Sparse data (~75% zeros)</w:t>
        <w:br/>
        <w:t>• Bounded values [0,1]</w:t>
        <w:br/>
        <w:br/>
        <w:t>This creates a spiked eigenvalue distribution with outliers far exceeding Marchenko-Pastur bounds.</w:t>
      </w:r>
    </w:p>
    <w:p>
      <w:pPr>
        <w:pStyle w:val="Heading1"/>
      </w:pPr>
      <w:r>
        <w:t>4. Experiment 2: Non-Linear Targets</w:t>
      </w:r>
    </w:p>
    <w:p>
      <w:r>
        <w:t>Setup: b = ReLU(A @ x*) instead of b = A @ x*</w:t>
      </w:r>
    </w:p>
    <w:p>
      <w:r>
        <w:t>Result: ~50% of Targets Become Zero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 Ratio</w:t>
            </w:r>
          </w:p>
        </w:tc>
        <w:tc>
          <w:tcPr>
            <w:tcW w:type="dxa" w:w="2160"/>
          </w:tcPr>
          <w:p>
            <w:r>
              <w:t>Zero Fraction</w:t>
            </w:r>
          </w:p>
        </w:tc>
        <w:tc>
          <w:tcPr>
            <w:tcW w:type="dxa" w:w="2160"/>
          </w:tcPr>
          <w:p>
            <w:r>
              <w:t>Final Loss</w:t>
            </w:r>
          </w:p>
        </w:tc>
        <w:tc>
          <w:tcPr>
            <w:tcW w:type="dxa" w:w="2160"/>
          </w:tcPr>
          <w:p>
            <w:r>
              <w:t>Initial Loss</w:t>
            </w:r>
          </w:p>
        </w:tc>
      </w:tr>
      <w:tr>
        <w:tc>
          <w:tcPr>
            <w:tcW w:type="dxa" w:w="2160"/>
          </w:tcPr>
          <w:p>
            <w:r>
              <w:t>r = 0.5</w:t>
            </w:r>
          </w:p>
        </w:tc>
        <w:tc>
          <w:tcPr>
            <w:tcW w:type="dxa" w:w="2160"/>
          </w:tcPr>
          <w:p>
            <w:r>
              <w:t>52.57%</w:t>
            </w:r>
          </w:p>
        </w:tc>
        <w:tc>
          <w:tcPr>
            <w:tcW w:type="dxa" w:w="2160"/>
          </w:tcPr>
          <w:p>
            <w:r>
              <w:t>0.168</w:t>
            </w:r>
          </w:p>
        </w:tc>
        <w:tc>
          <w:tcPr>
            <w:tcW w:type="dxa" w:w="2160"/>
          </w:tcPr>
          <w:p>
            <w:r>
              <w:t>0.364</w:t>
            </w:r>
          </w:p>
        </w:tc>
      </w:tr>
      <w:tr>
        <w:tc>
          <w:tcPr>
            <w:tcW w:type="dxa" w:w="2160"/>
          </w:tcPr>
          <w:p>
            <w:r>
              <w:t>r = 1.0</w:t>
            </w:r>
          </w:p>
        </w:tc>
        <w:tc>
          <w:tcPr>
            <w:tcW w:type="dxa" w:w="2160"/>
          </w:tcPr>
          <w:p>
            <w:r>
              <w:t>49.03%</w:t>
            </w:r>
          </w:p>
        </w:tc>
        <w:tc>
          <w:tcPr>
            <w:tcW w:type="dxa" w:w="2160"/>
          </w:tcPr>
          <w:p>
            <w:r>
              <w:t>0.135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</w:tr>
      <w:tr>
        <w:tc>
          <w:tcPr>
            <w:tcW w:type="dxa" w:w="2160"/>
          </w:tcPr>
          <w:p>
            <w:r>
              <w:t>r = 1.5</w:t>
            </w:r>
          </w:p>
        </w:tc>
        <w:tc>
          <w:tcPr>
            <w:tcW w:type="dxa" w:w="2160"/>
          </w:tcPr>
          <w:p>
            <w:r>
              <w:t>48.40%</w:t>
            </w:r>
          </w:p>
        </w:tc>
        <w:tc>
          <w:tcPr>
            <w:tcW w:type="dxa" w:w="2160"/>
          </w:tcPr>
          <w:p>
            <w:r>
              <w:t>0.060</w:t>
            </w:r>
          </w:p>
        </w:tc>
        <w:tc>
          <w:tcPr>
            <w:tcW w:type="dxa" w:w="2160"/>
          </w:tcPr>
          <w:p>
            <w:r>
              <w:t>0.098</w:t>
            </w:r>
          </w:p>
        </w:tc>
      </w:tr>
    </w:tbl>
    <w:p/>
    <w:p>
      <w:r>
        <w:t>Figure 3: Non-Linear Target Loss Curves</w:t>
      </w:r>
    </w:p>
    <w:p>
      <w:r>
        <w:drawing>
          <wp:inline xmlns:a="http://schemas.openxmlformats.org/drawingml/2006/main" xmlns:pic="http://schemas.openxmlformats.org/drawingml/2006/picture">
            <wp:extent cx="5486400" cy="1814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4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4: Zero Fraction Analysis</w:t>
      </w:r>
    </w:p>
    <w:p>
      <w:r>
        <w:drawing>
          <wp:inline xmlns:a="http://schemas.openxmlformats.org/drawingml/2006/main" xmlns:pic="http://schemas.openxmlformats.org/drawingml/2006/picture">
            <wp:extent cx="5486400" cy="177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ro_fr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Why Exactly 50%?</w:t>
        <w:br/>
        <w:t>1. A has centered columns → E[A_ij] = 0</w:t>
        <w:br/>
        <w:t>2. By Central Limit Theorem: (A @ x*)_i ~ N(0, σ²)</w:t>
        <w:br/>
        <w:t>3. For symmetric distribution: P(X &lt; 0) = 0.5</w:t>
        <w:br/>
        <w:t>4. ReLU clips negative half to zero</w:t>
        <w:br/>
        <w:br/>
        <w:t>Key Finding: Irreducible Error Floor</w:t>
        <w:br/>
        <w:t>Non-realizable problem → loss cannot reach zero. Higher r reduces error by expanding column space of A.</w:t>
      </w:r>
    </w:p>
    <w:p>
      <w:pPr>
        <w:pStyle w:val="Heading1"/>
      </w:pPr>
      <w:r>
        <w:t>5. Experiment 3: Whitened MNIST</w:t>
      </w:r>
    </w:p>
    <w:p>
      <w:r>
        <w:t>Setup: Apply whitening transform X_whitened = Σ^(-1/2)(X - μ)</w:t>
      </w:r>
    </w:p>
    <w:p>
      <w:r>
        <w:t>Result: 74% Reduction in Spectral 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 Ratio</w:t>
            </w:r>
          </w:p>
        </w:tc>
        <w:tc>
          <w:tcPr>
            <w:tcW w:type="dxa" w:w="2160"/>
          </w:tcPr>
          <w:p>
            <w:r>
              <w:t>Non-Whitened</w:t>
            </w:r>
          </w:p>
        </w:tc>
        <w:tc>
          <w:tcPr>
            <w:tcW w:type="dxa" w:w="2160"/>
          </w:tcPr>
          <w:p>
            <w:r>
              <w:t>Whitened</w:t>
            </w:r>
          </w:p>
        </w:tc>
        <w:tc>
          <w:tcPr>
            <w:tcW w:type="dxa" w:w="2160"/>
          </w:tcPr>
          <w:p>
            <w:r>
              <w:t>Reduction</w:t>
            </w:r>
          </w:p>
        </w:tc>
      </w:tr>
      <w:tr>
        <w:tc>
          <w:tcPr>
            <w:tcW w:type="dxa" w:w="2160"/>
          </w:tcPr>
          <w:p>
            <w:r>
              <w:t>r = 0.5</w:t>
            </w:r>
          </w:p>
        </w:tc>
        <w:tc>
          <w:tcPr>
            <w:tcW w:type="dxa" w:w="2160"/>
          </w:tcPr>
          <w:p>
            <w:r>
              <w:t>133.2</w:t>
            </w:r>
          </w:p>
        </w:tc>
        <w:tc>
          <w:tcPr>
            <w:tcW w:type="dxa" w:w="2160"/>
          </w:tcPr>
          <w:p>
            <w:r>
              <w:t>36.3</w:t>
            </w:r>
          </w:p>
        </w:tc>
        <w:tc>
          <w:tcPr>
            <w:tcW w:type="dxa" w:w="2160"/>
          </w:tcPr>
          <w:p>
            <w:r>
              <w:t>73%</w:t>
            </w:r>
          </w:p>
        </w:tc>
      </w:tr>
      <w:tr>
        <w:tc>
          <w:tcPr>
            <w:tcW w:type="dxa" w:w="2160"/>
          </w:tcPr>
          <w:p>
            <w:r>
              <w:t>r = 1.0</w:t>
            </w:r>
          </w:p>
        </w:tc>
        <w:tc>
          <w:tcPr>
            <w:tcW w:type="dxa" w:w="2160"/>
          </w:tcPr>
          <w:p>
            <w:r>
              <w:t>270.6</w:t>
            </w:r>
          </w:p>
        </w:tc>
        <w:tc>
          <w:tcPr>
            <w:tcW w:type="dxa" w:w="2160"/>
          </w:tcPr>
          <w:p>
            <w:r>
              <w:t>71.1</w:t>
            </w:r>
          </w:p>
        </w:tc>
        <w:tc>
          <w:tcPr>
            <w:tcW w:type="dxa" w:w="2160"/>
          </w:tcPr>
          <w:p>
            <w:r>
              <w:t>74%</w:t>
            </w:r>
          </w:p>
        </w:tc>
      </w:tr>
      <w:tr>
        <w:tc>
          <w:tcPr>
            <w:tcW w:type="dxa" w:w="2160"/>
          </w:tcPr>
          <w:p>
            <w:r>
              <w:t>r = 1.5</w:t>
            </w:r>
          </w:p>
        </w:tc>
        <w:tc>
          <w:tcPr>
            <w:tcW w:type="dxa" w:w="2160"/>
          </w:tcPr>
          <w:p>
            <w:r>
              <w:t>272.4</w:t>
            </w:r>
          </w:p>
        </w:tc>
        <w:tc>
          <w:tcPr>
            <w:tcW w:type="dxa" w:w="2160"/>
          </w:tcPr>
          <w:p>
            <w:r>
              <w:t>70.3</w:t>
            </w:r>
          </w:p>
        </w:tc>
        <w:tc>
          <w:tcPr>
            <w:tcW w:type="dxa" w:w="2160"/>
          </w:tcPr>
          <w:p>
            <w:r>
              <w:t>74%</w:t>
            </w:r>
          </w:p>
        </w:tc>
      </w:tr>
    </w:tbl>
    <w:p/>
    <w:p>
      <w:r>
        <w:t>Figure 5: Whitened vs Non-Whitened Spectral Ratio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Why Does Whitening Help?</w:t>
        <w:br/>
        <w:t>• Original MNIST covariance condition number: 51,396,544</w:t>
        <w:br/>
        <w:t>• After whitening: All directions have equal variance</w:t>
        <w:br/>
        <w:t>• Random projection preserves isotropy better</w:t>
        <w:br/>
        <w:t>• Result: 3-4x larger safe learning rates</w:t>
      </w:r>
    </w:p>
    <w:p>
      <w:pPr>
        <w:pStyle w:val="Heading1"/>
      </w:pPr>
      <w:r>
        <w:t>6. Experiment 4: Real MNIST Labels</w:t>
      </w:r>
    </w:p>
    <w:p>
      <w:r>
        <w:t>Setup: Classification as 10-output regression with Y = one_hot(MNIST labels)</w:t>
      </w:r>
    </w:p>
    <w:p>
      <w:r>
        <w:t>Result: Double Descent Phenomenon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 Ratio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Spectral Ratio</w:t>
            </w:r>
          </w:p>
        </w:tc>
        <w:tc>
          <w:tcPr>
            <w:tcW w:type="dxa" w:w="2160"/>
          </w:tcPr>
          <w:p>
            <w:r>
              <w:t>R Value</w:t>
            </w:r>
          </w:p>
        </w:tc>
      </w:tr>
      <w:tr>
        <w:tc>
          <w:tcPr>
            <w:tcW w:type="dxa" w:w="2160"/>
          </w:tcPr>
          <w:p>
            <w:r>
              <w:t>r = 0.5</w:t>
            </w:r>
          </w:p>
        </w:tc>
        <w:tc>
          <w:tcPr>
            <w:tcW w:type="dxa" w:w="2160"/>
          </w:tcPr>
          <w:p>
            <w:r>
              <w:t>99.95%</w:t>
            </w:r>
          </w:p>
        </w:tc>
        <w:tc>
          <w:tcPr>
            <w:tcW w:type="dxa" w:w="2160"/>
          </w:tcPr>
          <w:p>
            <w:r>
              <w:t>88.2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</w:tr>
      <w:tr>
        <w:tc>
          <w:tcPr>
            <w:tcW w:type="dxa" w:w="2160"/>
          </w:tcPr>
          <w:p>
            <w:r>
              <w:t>r = 1.0</w:t>
            </w:r>
          </w:p>
        </w:tc>
        <w:tc>
          <w:tcPr>
            <w:tcW w:type="dxa" w:w="2160"/>
          </w:tcPr>
          <w:p>
            <w:r>
              <w:t>73.35%</w:t>
            </w:r>
          </w:p>
        </w:tc>
        <w:tc>
          <w:tcPr>
            <w:tcW w:type="dxa" w:w="2160"/>
          </w:tcPr>
          <w:p>
            <w:r>
              <w:t>170.0</w:t>
            </w:r>
          </w:p>
        </w:tc>
        <w:tc>
          <w:tcPr>
            <w:tcW w:type="dxa" w:w="2160"/>
          </w:tcPr>
          <w:p>
            <w:r>
              <w:t>unstable</w:t>
            </w:r>
          </w:p>
        </w:tc>
      </w:tr>
      <w:tr>
        <w:tc>
          <w:tcPr>
            <w:tcW w:type="dxa" w:w="2160"/>
          </w:tcPr>
          <w:p>
            <w:r>
              <w:t>r = 1.5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  <w:tc>
          <w:tcPr>
            <w:tcW w:type="dxa" w:w="2160"/>
          </w:tcPr>
          <w:p>
            <w:r>
              <w:t>167.4</w:t>
            </w:r>
          </w:p>
        </w:tc>
        <w:tc>
          <w:tcPr>
            <w:tcW w:type="dxa" w:w="2160"/>
          </w:tcPr>
          <w:p>
            <w:r>
              <w:t>unstable</w:t>
            </w:r>
          </w:p>
        </w:tc>
      </w:tr>
    </w:tbl>
    <w:p/>
    <w:p>
      <w:r>
        <w:t>Figure 6: Classification Accuracy vs Aspect Ratio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Why Does Accuracy Dip at r = 1.0? (Double Descent)</w:t>
        <w:br/>
        <w:t>• At r = 1: Matrix A is square (potentially singular)</w:t>
        <w:br/>
        <w:t>• Interpolation threshold causes numerical instability</w:t>
        <w:br/>
        <w:t>• R parameter explodes (~10^12)</w:t>
        <w:br/>
        <w:br/>
        <w:t>Why 100% at r = 1.5?</w:t>
        <w:br/>
        <w:t>• More features than samples → interpolation regime</w:t>
        <w:br/>
        <w:t>• Model can fit training data exactly</w:t>
      </w:r>
    </w:p>
    <w:p>
      <w:pPr>
        <w:pStyle w:val="Heading1"/>
      </w:pPr>
      <w:r>
        <w:t>7. Key Findings</w:t>
      </w:r>
    </w:p>
    <w:p>
      <w:r>
        <w:t>1. Eigenvalues Determine SGD Dynamics</w:t>
        <w:br/>
        <w:t xml:space="preserve">   99% correlation between Volterra prediction and actual SGD.</w:t>
        <w:br/>
        <w:br/>
        <w:t>2. Spectral Ratio Explains Theory-Practice Gap</w:t>
        <w:br/>
        <w:t xml:space="preserve">   Gap ≈ λ_max / mean(λ) = Spectral Ratio (133-272x for MNIST)</w:t>
        <w:br/>
        <w:br/>
        <w:t>3. Theory is Robust to Assumption Violations</w:t>
        <w:br/>
        <w:t xml:space="preserve">   Works for non-realizable problems and multi-output regression.</w:t>
        <w:br/>
        <w:br/>
        <w:t>4. Preprocessing Matters</w:t>
        <w:br/>
        <w:t xml:space="preserve">   Whitening reduces spectral ratio by 74%, allowing 4x larger learning rates.</w:t>
        <w:br/>
        <w:br/>
        <w:t>5. Interpolation Threshold is Special</w:t>
        <w:br/>
        <w:t xml:space="preserve">   At r = 1: numerical instability, double descent. Avoid r ≈ 1 in practice.</w:t>
      </w:r>
    </w:p>
    <w:p>
      <w:pPr>
        <w:pStyle w:val="Heading1"/>
      </w:pPr>
      <w:r>
        <w:t>8. Conclusions</w:t>
      </w:r>
    </w:p>
    <w:p>
      <w:r>
        <w:t>• Volterra theory accurately predicts SGD dynamics on real data (99% correlation)</w:t>
        <w:br/>
        <w:br/>
        <w:t>• The spectral ratio is the key quantity bridging theory and practice</w:t>
        <w:br/>
        <w:br/>
        <w:t>• The theory is robust: works for non-realizable problems, extends to classification</w:t>
        <w:br/>
        <w:br/>
        <w:t>• Practical recommendations:</w:t>
        <w:br/>
        <w:t xml:space="preserve">  - Always compute λ_max for step size selection</w:t>
        <w:br/>
        <w:t xml:space="preserve">  - Use whitening/standardization (4x speedup possible)</w:t>
        <w:br/>
        <w:t xml:space="preserve">  - Avoid aspect ratios near r = 1</w:t>
      </w:r>
    </w:p>
    <w:p>
      <w:pPr>
        <w:pStyle w:val="Heading1"/>
      </w:pPr>
      <w:r>
        <w:t>References</w:t>
      </w:r>
    </w:p>
    <w:p>
      <w:r>
        <w:t>1. Bach, F. (2024). Learning Theory from First Principles. MIT Press.</w:t>
        <w:br/>
        <w:t>2. Marchenko, V. A., &amp; Pastur, L. A. (1967). Distribution of eigenvalues for some sets of random matrices.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