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Abstract</w:t>
      </w:r>
    </w:p>
    <w:p>
      <w:pPr>
        <w:spacing w:line="360" w:lineRule="auto"/>
        <w:ind w:left="720" w:right="720"/>
        <w:jc w:val="both"/>
      </w:pPr>
      <w:r>
        <w:rPr>
          <w:rFonts w:ascii="Times New Roman" w:hAnsi="Times New Roman"/>
          <w:sz w:val="24"/>
        </w:rPr>
        <w:t>This report presents ForeWatt, an end-to-end electricity market forecasting platform designed for the Turkish electricity market operated by EPIAS. The system provides 24-hour ahead forecasts for both energy consumption and day-ahead market prices using gradient boosting ensemble methods. The consumption model, based on CatBoost with 23 engineered features, achieves a symmetric mean absolute percentage error of 1.95 percent on held-out test data. The price forecasting model employs a hybrid architecture combining CatBoost and LightGBM with adaptive error correction, achieving 11.71 percent sMAPE while operating under a 2-hour data publication delay constraint. The platform is deployed on Google Cloud Run with hourly automated forecast generation, Firestore real-time storage, and a React-based dashboard for visualization. This work demonstrates that carefully engineered gradient boosting models can achieve competitive performance against more complex deep learning approaches while maintaining interpretability and production reliability.</w:t>
      </w:r>
    </w:p>
    <w:p>
      <w:r>
        <w:br w:type="page"/>
      </w:r>
    </w:p>
    <w:p>
      <w:pPr>
        <w:pStyle w:val="Heading1"/>
      </w:pPr>
      <w:r>
        <w:rPr>
          <w:rFonts w:ascii="Times New Roman" w:hAnsi="Times New Roman"/>
          <w:b/>
          <w:sz w:val="28"/>
        </w:rPr>
        <w:t>1. Introduction</w:t>
      </w:r>
    </w:p>
    <w:p>
      <w:pPr>
        <w:pStyle w:val="Heading2"/>
      </w:pPr>
      <w:r>
        <w:rPr>
          <w:rFonts w:ascii="Times New Roman" w:hAnsi="Times New Roman"/>
          <w:b/>
          <w:sz w:val="26"/>
        </w:rPr>
        <w:t>1.1 Problem Definition and Motivation</w:t>
      </w:r>
    </w:p>
    <w:p>
      <w:pPr>
        <w:spacing w:line="360" w:lineRule="auto"/>
        <w:ind w:firstLine="720"/>
        <w:jc w:val="both"/>
      </w:pPr>
      <w:r>
        <w:rPr>
          <w:rFonts w:ascii="Times New Roman" w:hAnsi="Times New Roman"/>
          <w:b w:val="0"/>
          <w:i w:val="0"/>
          <w:sz w:val="24"/>
        </w:rPr>
        <w:t>The Turkish electricity market has undergone significant transformation since its liberalization in 2001. The Energy Exchange Istanbul, known as EPIAS, now operates as the central platform for electricity trading in Turkey, handling day-ahead market transactions, intraday trading, and balancing power markets. With an installed capacity exceeding 100 gigawatts and annual electricity consumption surpassing 300 terawatt-hours, the Turkish market represents one of the largest electricity markets in the EMEA region.</w:t>
      </w:r>
    </w:p>
    <w:p>
      <w:pPr>
        <w:spacing w:line="360" w:lineRule="auto"/>
        <w:ind w:firstLine="720"/>
        <w:jc w:val="both"/>
      </w:pPr>
      <w:r>
        <w:rPr>
          <w:rFonts w:ascii="Times New Roman" w:hAnsi="Times New Roman"/>
          <w:b w:val="0"/>
          <w:i w:val="0"/>
          <w:sz w:val="24"/>
        </w:rPr>
        <w:t>Electricity price and consumption forecasting in this market presents unique challenges. The high penetration of renewable energy sources, particularly wind and solar, introduces substantial volatility into both generation patterns and market prices. Turkey's diverse climate zones, spanning Mediterranean, continental, and transitional regions, create complex demand patterns driven by heating and cooling requirements. Furthermore, the market's sensitivity to natural gas prices, hydroelectric reservoir levels, and cross-border electricity flows adds layers of complexity that purely autoregressive models struggle to capture.</w:t>
      </w:r>
    </w:p>
    <w:p>
      <w:pPr>
        <w:spacing w:line="360" w:lineRule="auto"/>
        <w:ind w:firstLine="720"/>
        <w:jc w:val="both"/>
      </w:pPr>
      <w:r>
        <w:rPr>
          <w:rFonts w:ascii="Times New Roman" w:hAnsi="Times New Roman"/>
          <w:b w:val="0"/>
          <w:i w:val="0"/>
          <w:sz w:val="24"/>
        </w:rPr>
        <w:t>A critical operational constraint in the Turkish market is the 2-hour delay in official data publication by EPIAS. Real-time consumption and price data become available only after this lag period, meaning that any forecasting system must produce predictions without access to the most recent two hours of actual observations. This constraint effectively extends the minimum forecast horizon and requires careful feature engineering to bridge the information gap.</w:t>
      </w:r>
    </w:p>
    <w:p>
      <w:pPr>
        <w:spacing w:line="360" w:lineRule="auto"/>
        <w:ind w:firstLine="720"/>
        <w:jc w:val="both"/>
      </w:pPr>
      <w:r>
        <w:rPr>
          <w:rFonts w:ascii="Times New Roman" w:hAnsi="Times New Roman"/>
          <w:b w:val="0"/>
          <w:i w:val="0"/>
          <w:sz w:val="24"/>
        </w:rPr>
        <w:t>The motivation for accurate electricity forecasting extends across multiple stakeholder groups. Generation companies require consumption forecasts to optimize unit commitment and dispatch decisions. Retailers and large consumers need price forecasts to manage procurement strategies and hedge against price volatility. Grid operators rely on demand forecasts for real-time balancing and reserve procurement. The financial implications of forecast errors are substantial, as imbalance penalties in the Turkish market can significantly impact profitability. These considerations motivate the development of ForeWatt as a comprehensive forecasting platform addressing both consumption and price prediction with production-grade reliability.</w:t>
      </w:r>
    </w:p>
    <w:p>
      <w:pPr>
        <w:pStyle w:val="Heading2"/>
      </w:pPr>
      <w:r>
        <w:rPr>
          <w:rFonts w:ascii="Times New Roman" w:hAnsi="Times New Roman"/>
          <w:b/>
          <w:sz w:val="26"/>
        </w:rPr>
        <w:t>1.2 Project Goals and Objectives</w:t>
      </w:r>
    </w:p>
    <w:p>
      <w:pPr>
        <w:spacing w:line="360" w:lineRule="auto"/>
        <w:ind w:firstLine="720"/>
        <w:jc w:val="both"/>
      </w:pPr>
      <w:r>
        <w:rPr>
          <w:rFonts w:ascii="Times New Roman" w:hAnsi="Times New Roman"/>
          <w:b w:val="0"/>
          <w:i w:val="0"/>
          <w:sz w:val="24"/>
        </w:rPr>
        <w:t>The primary objective of the ForeWatt project is to develop an operational forecasting system capable of generating accurate 24-hour ahead predictions for electricity consumption and day-ahead market prices in the Turkish market. This objective encompasses several specific technical goals that guide the system design and implementation.</w:t>
      </w:r>
    </w:p>
    <w:p>
      <w:pPr>
        <w:spacing w:line="360" w:lineRule="auto"/>
        <w:ind w:firstLine="720"/>
        <w:jc w:val="both"/>
      </w:pPr>
      <w:r>
        <w:rPr>
          <w:rFonts w:ascii="Times New Roman" w:hAnsi="Times New Roman"/>
          <w:b w:val="0"/>
          <w:i w:val="0"/>
          <w:sz w:val="24"/>
        </w:rPr>
        <w:t>The first goal is to achieve forecast accuracy that substantially outperforms naive baseline methods. For consumption forecasting, the target is to surpass the performance of persistence models that simply use the same-hour value from the previous day or week. For price forecasting, the objective is to exceed the accuracy of both persistence baselines and simple autoregressive models. The performance metric selected for evaluation is the symmetric mean absolute percentage error, which provides scale-independent assessment suitable for comparing models across different time periods and market conditions.</w:t>
      </w:r>
    </w:p>
    <w:p>
      <w:pPr>
        <w:spacing w:line="360" w:lineRule="auto"/>
        <w:ind w:firstLine="720"/>
        <w:jc w:val="both"/>
      </w:pPr>
      <w:r>
        <w:rPr>
          <w:rFonts w:ascii="Times New Roman" w:hAnsi="Times New Roman"/>
          <w:b w:val="0"/>
          <w:i w:val="0"/>
          <w:sz w:val="24"/>
        </w:rPr>
        <w:t>The second goal is to design and implement a production-ready system architecture capable of continuous operation with minimal manual intervention. This requires automated data pipelines that handle the complexities of multiple data sources, robust error handling for API failures and data quality issues, and a deployment infrastructure that scales automatically with demand. The selected platform for deployment is Google Cloud Run, which provides serverless container hosting with automatic scaling and integrated scheduling capabilities.</w:t>
      </w:r>
    </w:p>
    <w:p>
      <w:pPr>
        <w:spacing w:line="360" w:lineRule="auto"/>
        <w:ind w:firstLine="720"/>
        <w:jc w:val="both"/>
      </w:pPr>
      <w:r>
        <w:rPr>
          <w:rFonts w:ascii="Times New Roman" w:hAnsi="Times New Roman"/>
          <w:b w:val="0"/>
          <w:i w:val="0"/>
          <w:sz w:val="24"/>
        </w:rPr>
        <w:t>The third goal is to provide accessible forecast visualization through a web-based dashboard. The dashboard should display current forecasts with uncertainty quantification, historical performance tracking, and anomaly detection capabilities. This interface enables stakeholders to consume forecast outputs without requiring technical expertise in data science or programming.</w:t>
      </w:r>
    </w:p>
    <w:p>
      <w:pPr>
        <w:pStyle w:val="Heading2"/>
      </w:pPr>
      <w:r>
        <w:rPr>
          <w:rFonts w:ascii="Times New Roman" w:hAnsi="Times New Roman"/>
          <w:b/>
          <w:sz w:val="26"/>
        </w:rPr>
        <w:t>1.3 Literature Review and Related Work</w:t>
      </w:r>
    </w:p>
    <w:p>
      <w:pPr>
        <w:spacing w:line="360" w:lineRule="auto"/>
        <w:ind w:firstLine="720"/>
        <w:jc w:val="both"/>
      </w:pPr>
      <w:r>
        <w:rPr>
          <w:rFonts w:ascii="Times New Roman" w:hAnsi="Times New Roman"/>
          <w:b w:val="0"/>
          <w:i w:val="0"/>
          <w:sz w:val="24"/>
        </w:rPr>
        <w:t>Electricity load and price forecasting have been active research areas for several decades, with methodological approaches evolving from statistical time series methods to machine learning and deep learning techniques. This review surveys the relevant literature to contextualize the technical choices made in the ForeWatt system.</w:t>
      </w:r>
    </w:p>
    <w:p>
      <w:pPr>
        <w:spacing w:line="360" w:lineRule="auto"/>
        <w:ind w:firstLine="720"/>
        <w:jc w:val="both"/>
      </w:pPr>
      <w:r>
        <w:rPr>
          <w:rFonts w:ascii="Times New Roman" w:hAnsi="Times New Roman"/>
          <w:b w:val="0"/>
          <w:i w:val="0"/>
          <w:sz w:val="24"/>
        </w:rPr>
        <w:t>Traditional statistical methods for electricity forecasting have centered on autoregressive integrated moving average models and their extensions. ARIMA models capture linear dependencies in time series data through a combination of autoregressive terms, differencing for stationarity, and moving average components. Seasonal ARIMA variants extend this framework to handle the strong daily, weekly, and annual periodicities characteristic of electricity demand. Exponential smoothing methods, including Holt-Winters approaches, provide alternatives that weight recent observations more heavily while explicitly modeling trend and seasonal components. While these methods remain useful as baselines and for interpretability, their linear assumptions limit their ability to capture the complex nonlinear relationships present in electricity markets.</w:t>
      </w:r>
    </w:p>
    <w:p>
      <w:pPr>
        <w:spacing w:line="360" w:lineRule="auto"/>
        <w:ind w:firstLine="720"/>
        <w:jc w:val="both"/>
      </w:pPr>
      <w:r>
        <w:rPr>
          <w:rFonts w:ascii="Times New Roman" w:hAnsi="Times New Roman"/>
          <w:b w:val="0"/>
          <w:i w:val="0"/>
          <w:sz w:val="24"/>
        </w:rPr>
        <w:t>Machine learning methods have demonstrated substantial improvements over traditional statistical approaches for electricity forecasting. Gradient boosting decision tree ensembles, including XGBoost, LightGBM, and CatBoost, have emerged as particularly effective for tabular regression problems with complex feature interactions. These methods construct ensembles of decision trees sequentially, with each tree trained to correct the residual errors of the previous ensemble. The ability to handle heterogeneous features, capture nonlinear relationships, and provide feature importance rankings makes gradient boosting methods well-suited for electricity forecasting applications where domain knowledge can inform feature engineering.</w:t>
      </w:r>
    </w:p>
    <w:p>
      <w:pPr>
        <w:spacing w:line="360" w:lineRule="auto"/>
        <w:ind w:firstLine="720"/>
        <w:jc w:val="both"/>
      </w:pPr>
      <w:r>
        <w:rPr>
          <w:rFonts w:ascii="Times New Roman" w:hAnsi="Times New Roman"/>
          <w:b w:val="0"/>
          <w:i w:val="0"/>
          <w:sz w:val="24"/>
        </w:rPr>
        <w:t>Deep learning approaches have also been extensively explored for time series forecasting. Long short-term memory networks address the vanishing gradient problem in recurrent neural networks, enabling the learning of long-range temporal dependencies. The Transformer architecture, originally developed for natural language processing, has been adapted for time series through models such as the Temporal Fusion Transformer which combines attention mechanisms with interpretable variable selection. More recent architectures including N-BEATS, N-HiTS, and PatchTST have achieved strong performance on benchmark forecasting tasks through various innovations in how temporal patterns are represented and processed.</w:t>
      </w:r>
    </w:p>
    <w:p>
      <w:pPr>
        <w:spacing w:line="360" w:lineRule="auto"/>
        <w:ind w:firstLine="720"/>
        <w:jc w:val="both"/>
      </w:pPr>
      <w:r>
        <w:rPr>
          <w:rFonts w:ascii="Times New Roman" w:hAnsi="Times New Roman"/>
          <w:b w:val="0"/>
          <w:i w:val="0"/>
          <w:sz w:val="24"/>
        </w:rPr>
        <w:t>Despite the architectural sophistication of deep learning methods, empirical studies have repeatedly shown that well-tuned gradient boosting models often match or exceed their performance on electricity forecasting tasks. A comprehensive study by Makridakis and colleagues in the M5 competition demonstrated that gradient boosting methods achieved top performance across diverse forecasting scenarios. Similar findings have been reported specifically for electricity markets, where the structured nature of the problem and the availability of meaningful engineered features favor tree-based methods. The lower computational requirements and greater interpretability of gradient boosting methods provide additional practical advantages for production deployment.</w:t>
      </w:r>
    </w:p>
    <w:p>
      <w:pPr>
        <w:spacing w:line="360" w:lineRule="auto"/>
        <w:ind w:firstLine="720"/>
        <w:jc w:val="both"/>
      </w:pPr>
      <w:r>
        <w:rPr>
          <w:rFonts w:ascii="Times New Roman" w:hAnsi="Times New Roman"/>
          <w:b w:val="0"/>
          <w:i w:val="0"/>
          <w:sz w:val="24"/>
        </w:rPr>
        <w:t>For the specific context of the Turkish electricity market, prior research has examined various forecasting approaches with mixed results. Studies have applied neural networks, support vector machines, and ensemble methods to EPIAS data with varying degrees of success. However, few works have addressed the complete production pipeline from data acquisition through deployment, and most academic studies evaluate performance on historical data without addressing the operational constraints of real-time forecasting with data publication delays.</w:t>
      </w:r>
    </w:p>
    <w:p>
      <w:pPr>
        <w:pStyle w:val="Heading2"/>
      </w:pPr>
      <w:r>
        <w:rPr>
          <w:rFonts w:ascii="Times New Roman" w:hAnsi="Times New Roman"/>
          <w:b/>
          <w:sz w:val="26"/>
        </w:rPr>
        <w:t>1.4 Approach and Design Philosophy</w:t>
      </w:r>
    </w:p>
    <w:p>
      <w:pPr>
        <w:spacing w:line="360" w:lineRule="auto"/>
        <w:ind w:firstLine="720"/>
        <w:jc w:val="both"/>
      </w:pPr>
      <w:r>
        <w:rPr>
          <w:rFonts w:ascii="Times New Roman" w:hAnsi="Times New Roman"/>
          <w:b w:val="0"/>
          <w:i w:val="0"/>
          <w:sz w:val="24"/>
        </w:rPr>
        <w:t>The design of ForeWatt is guided by several core principles that prioritize production reliability and maintainability alongside forecast accuracy. These principles reflect lessons learned from operational machine learning systems and the specific requirements of electricity market forecasting.</w:t>
      </w:r>
    </w:p>
    <w:p>
      <w:pPr>
        <w:spacing w:line="360" w:lineRule="auto"/>
        <w:ind w:firstLine="720"/>
        <w:jc w:val="both"/>
      </w:pPr>
      <w:r>
        <w:rPr>
          <w:rFonts w:ascii="Times New Roman" w:hAnsi="Times New Roman"/>
          <w:b w:val="0"/>
          <w:i w:val="0"/>
          <w:sz w:val="24"/>
        </w:rPr>
        <w:t>The first principle is the adoption of a medallion data architecture for organizing the data pipeline. Raw data from external sources including EPIAS, weather APIs, and macroeconomic databases is stored in the bronze layer with minimal transformation. The silver layer contains cleaned and validated data with standardized formats and handling of missing values. The gold layer provides feature-engineered datasets ready for model training and inference. This layered architecture enables independent evolution of data sources and models, simplifies debugging of data quality issues, and provides clear interfaces between pipeline stages.</w:t>
      </w:r>
    </w:p>
    <w:p>
      <w:pPr>
        <w:spacing w:line="360" w:lineRule="auto"/>
        <w:ind w:firstLine="720"/>
        <w:jc w:val="both"/>
      </w:pPr>
      <w:r>
        <w:rPr>
          <w:rFonts w:ascii="Times New Roman" w:hAnsi="Times New Roman"/>
          <w:b w:val="0"/>
          <w:i w:val="0"/>
          <w:sz w:val="24"/>
        </w:rPr>
        <w:t>The second principle is the use of ensemble methods with hybrid error correction. Rather than relying on a single model, the price forecasting system combines predictions from multiple gradient boosting algorithms with adaptive error correction mechanisms. This approach improves robustness against model-specific failure modes and enables the system to adapt to changing market conditions without complete retraining. The consumption model uses a single CatBoost model but incorporates uncertainty quantification through conformal prediction to provide reliable prediction intervals.</w:t>
      </w:r>
    </w:p>
    <w:p>
      <w:pPr>
        <w:spacing w:line="360" w:lineRule="auto"/>
        <w:ind w:firstLine="720"/>
        <w:jc w:val="both"/>
      </w:pPr>
      <w:r>
        <w:rPr>
          <w:rFonts w:ascii="Times New Roman" w:hAnsi="Times New Roman"/>
          <w:b w:val="0"/>
          <w:i w:val="0"/>
          <w:sz w:val="24"/>
        </w:rPr>
        <w:t>The third principle is extensive feature engineering leveraging domain knowledge of electricity markets. Features are constructed to capture known drivers of consumption and prices, including temperature-based heating and cooling degree days, calendar effects such as holidays and weekends, lagged values at intervals corresponding to daily and weekly seasonality, and market-derived signals such as generation mix and capacity margins. This domain-informed approach to feature engineering enables simpler models to achieve strong performance by presenting relevant information in forms that tree-based learners can effectively exploit.</w:t>
      </w:r>
    </w:p>
    <w:p>
      <w:pPr>
        <w:spacing w:line="360" w:lineRule="auto"/>
        <w:ind w:firstLine="720"/>
        <w:jc w:val="both"/>
      </w:pPr>
      <w:r>
        <w:rPr>
          <w:rFonts w:ascii="Times New Roman" w:hAnsi="Times New Roman"/>
          <w:b w:val="0"/>
          <w:i w:val="0"/>
          <w:sz w:val="24"/>
        </w:rPr>
        <w:t>The fourth principle is prioritizing production considerations throughout the design process. All components are designed for automated operation with comprehensive logging and monitoring. The system handles missing data gracefully through forward-filling and fallback strategies rather than failing on incomplete inputs. The deployment architecture on Google Cloud Run provides automatic scaling, built-in load balancing, and integration with Cloud Scheduler for hourly forecast generation. This production focus ensures that the system delivers value continuously rather than serving only as a research prototype.</w:t>
      </w:r>
    </w:p>
    <w:p>
      <w:pPr>
        <w:spacing w:line="360" w:lineRule="auto"/>
        <w:ind w:firstLine="720"/>
        <w:jc w:val="both"/>
      </w:pPr>
      <w:r>
        <w:rPr>
          <w:rFonts w:ascii="Times New Roman" w:hAnsi="Times New Roman"/>
          <w:b w:val="0"/>
          <w:i w:val="0"/>
          <w:sz w:val="24"/>
        </w:rPr>
        <w:t>The remainder of this report is organized as follows. Section 2 describes the data sources and preprocessing pipeline in detail. Section 3 presents the feature engineering methodology and the complete feature sets used by each model. Section 4 covers the model architectures, training procedures, and hyperparameter optimization. Section 5 reports experimental results including accuracy metrics and comparison with baselines. Section 6 describes the system architecture and deployment infrastructure. Section 7 concludes with a discussion of limitations and directions for future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