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sz w:val="26"/>
        </w:rPr>
        <w:t>2.2 Feature Engineering and Master Data</w:t>
      </w:r>
    </w:p>
    <w:p>
      <w:pPr>
        <w:spacing w:line="360" w:lineRule="auto"/>
        <w:ind w:firstLine="720"/>
        <w:jc w:val="both"/>
      </w:pPr>
      <w:r>
        <w:rPr>
          <w:rFonts w:ascii="Times New Roman" w:hAnsi="Times New Roman"/>
          <w:b w:val="0"/>
          <w:i w:val="0"/>
          <w:sz w:val="24"/>
        </w:rPr>
        <w:t>The transformation of raw data into predictive features represents a critical stage in the ForeWatt pipeline. A comprehensive feature engineering framework was developed to extract meaningful signals from heterogeneous data sources, including historical consumption patterns, electricity market dynamics, meteorological observations, and calendar information. The feature engineering pipeline is implemented through a modular architecture consisting of specialized generators for lag features, rolling window statistics, calendar encodings, and weather-derived indicators. These components operate on data organized according to a medallion architecture, processing information from the Silver layer (cleaned and normalized) to produce Gold layer assets (machine learning-ready features).</w:t>
      </w:r>
    </w:p>
    <w:p>
      <w:pPr>
        <w:spacing w:line="360" w:lineRule="auto"/>
        <w:ind w:firstLine="720"/>
        <w:jc w:val="both"/>
      </w:pPr>
      <w:r>
        <w:rPr>
          <w:rFonts w:ascii="Times New Roman" w:hAnsi="Times New Roman"/>
          <w:b w:val="0"/>
          <w:i w:val="0"/>
          <w:sz w:val="24"/>
        </w:rPr>
        <w:t>Lag features constitute the foundation of the autoregressive modeling approach employed in ForeWatt. For the consumption forecasting model, lags are computed at multiple temporal horizons to capture patterns operating at different time scales. Short-term lags at 1, 2, 3, and 6 hours capture immediate consumption inertia and autoregressive dependencies that reflect the physical constraints of electricity demand. The 12-hour and 24-hour lags capture diurnal patterns and day-over-day changes, while the 48-hour and 168-hour (weekly) lags encode longer-term seasonal cycles. Temperature lag features are similarly constructed at 1, 2, 3, 24, and 168 hour intervals to account for the delayed response of electricity demand to weather conditions. Price lag features at 24-hour and 168-hour horizons provide economic context by reflecting historical market conditions.</w:t>
      </w:r>
    </w:p>
    <w:p>
      <w:pPr>
        <w:spacing w:line="360" w:lineRule="auto"/>
        <w:ind w:firstLine="720"/>
        <w:jc w:val="both"/>
      </w:pPr>
      <w:r>
        <w:rPr>
          <w:rFonts w:ascii="Times New Roman" w:hAnsi="Times New Roman"/>
          <w:b w:val="0"/>
          <w:i w:val="0"/>
          <w:sz w:val="24"/>
        </w:rPr>
        <w:t>Rolling window statistics extend the feature set by computing aggregate measures over sliding windows of 24 hours and 168 hours. For each window size, the mean, standard deviation, minimum, and maximum values are calculated for consumption, temperature, and price variables. These statistics capture both the central tendency and variability of the underlying processes. Derived features are computed from these rolling statistics, including the consumption range (maximum minus minimum) as a measure of daily volatility, the coefficient of variation (standard deviation divided by mean) as a normalized variability indicator, and the diurnal temperature range to characterize weather stability. The rolling standard deviation of price over 24 hours serves as a proxy for market volatility, which is particularly important for price prediction during periods of supply uncertainty.</w:t>
      </w:r>
    </w:p>
    <w:p>
      <w:pPr>
        <w:spacing w:line="360" w:lineRule="auto"/>
        <w:ind w:firstLine="720"/>
        <w:jc w:val="both"/>
      </w:pPr>
      <w:r>
        <w:rPr>
          <w:rFonts w:ascii="Times New Roman" w:hAnsi="Times New Roman"/>
          <w:b w:val="0"/>
          <w:i w:val="0"/>
          <w:sz w:val="24"/>
        </w:rPr>
        <w:t>Calendar features encode temporal structure and institutional patterns that influence electricity consumption and prices. Basic temporal features include day of week, day of month, month, and week of year. Binary indicators distinguish weekends from weekdays, reflecting the systematic reduction in commercial and industrial demand during non-working days. Holiday features are constructed from a comprehensive calendar of Turkish official holidays, religious observances, and half-day holidays. The holiday encoding includes both day-level and hour-level flags, with special handling for half-day holidays where morning hours may exhibit normal demand patterns. Cyclical encodings using sine and cosine transformations are applied to day of week and month features to preserve the periodic nature of these variables and avoid artificial discontinuities at period boundaries.</w:t>
      </w:r>
    </w:p>
    <w:p>
      <w:pPr>
        <w:spacing w:line="360" w:lineRule="auto"/>
        <w:ind w:firstLine="720"/>
        <w:jc w:val="both"/>
      </w:pPr>
      <w:r>
        <w:rPr>
          <w:rFonts w:ascii="Times New Roman" w:hAnsi="Times New Roman"/>
          <w:b w:val="0"/>
          <w:i w:val="0"/>
          <w:sz w:val="24"/>
        </w:rPr>
        <w:t>Weather features are derived from temperature, humidity, and wind speed observations collected from twelve major Turkish cities. A population-weighted national temperature index is computed to represent aggregate weather conditions across the country. Heating Degree Days (HDD) and Cooling Degree Days (CDD) are calculated using standard formulas with base temperatures calibrated for Turkish climate conditions. The heat index combines temperature and humidity to characterize perceived temperature during summer months when air conditioning loads are significant. Binary indicators flag extreme temperature conditions (hot and cold thresholds) that trigger non-linear demand responses. These weather features capture the thermosensitive component of electricity demand, which can account for substantial variation during extreme weather events.</w:t>
      </w:r>
    </w:p>
    <w:p>
      <w:pPr>
        <w:jc w:val="center"/>
      </w:pPr>
      <w:r>
        <w:drawing>
          <wp:inline xmlns:a="http://schemas.openxmlformats.org/drawingml/2006/main" xmlns:pic="http://schemas.openxmlformats.org/drawingml/2006/picture">
            <wp:extent cx="5029200" cy="2684336"/>
            <wp:docPr id="1" name="Picture 1"/>
            <wp:cNvGraphicFramePr>
              <a:graphicFrameLocks noChangeAspect="1"/>
            </wp:cNvGraphicFramePr>
            <a:graphic>
              <a:graphicData uri="http://schemas.openxmlformats.org/drawingml/2006/picture">
                <pic:pic>
                  <pic:nvPicPr>
                    <pic:cNvPr id="0" name="18_ml_model_architecture.jpg"/>
                    <pic:cNvPicPr/>
                  </pic:nvPicPr>
                  <pic:blipFill>
                    <a:blip r:embed="rId9"/>
                    <a:stretch>
                      <a:fillRect/>
                    </a:stretch>
                  </pic:blipFill>
                  <pic:spPr>
                    <a:xfrm>
                      <a:off x="0" y="0"/>
                      <a:ext cx="5029200" cy="2684336"/>
                    </a:xfrm>
                    <a:prstGeom prst="rect"/>
                  </pic:spPr>
                </pic:pic>
              </a:graphicData>
            </a:graphic>
          </wp:inline>
        </w:drawing>
      </w:r>
    </w:p>
    <w:p>
      <w:pPr>
        <w:spacing w:after="240"/>
        <w:jc w:val="center"/>
      </w:pPr>
      <w:r>
        <w:rPr>
          <w:rFonts w:ascii="Times New Roman" w:hAnsi="Times New Roman"/>
          <w:i/>
          <w:sz w:val="20"/>
        </w:rPr>
        <w:t>Figure 2. Machine learning model architecture showing feature flow and model ensemble</w:t>
      </w:r>
    </w:p>
    <w:p>
      <w:pPr>
        <w:spacing w:line="360" w:lineRule="auto"/>
        <w:ind w:firstLine="720"/>
        <w:jc w:val="both"/>
      </w:pPr>
      <w:r>
        <w:rPr>
          <w:rFonts w:ascii="Times New Roman" w:hAnsi="Times New Roman"/>
          <w:b w:val="0"/>
          <w:i w:val="0"/>
          <w:sz w:val="24"/>
        </w:rPr>
        <w:t>The price forecasting model employs a distinct feature set designed to capture market dynamics and supply-demand fundamentals. Market signal features include thermal gap, which measures the difference between thermal generation capacity and actual thermal output, indicating the availability of dispatchable generation. Renewable saturation captures the proportion of demand met by variable renewable sources, which influences price volatility through merit order effects. The spark spread proxy approximates the profitability of gas-fired generation using historical price relationships. System short signals indicate periods when scheduled generation may be insufficient to meet forecasted demand, typically associated with price spikes. Load factor and reserve margin ratio characterize system utilization and capacity adequacy, respectively.</w:t>
      </w:r>
    </w:p>
    <w:p>
      <w:pPr>
        <w:spacing w:line="360" w:lineRule="auto"/>
        <w:ind w:firstLine="720"/>
        <w:jc w:val="both"/>
      </w:pPr>
      <w:r>
        <w:rPr>
          <w:rFonts w:ascii="Times New Roman" w:hAnsi="Times New Roman"/>
          <w:b w:val="0"/>
          <w:i w:val="0"/>
          <w:sz w:val="24"/>
        </w:rPr>
        <w:t>Profile evolution features capture the time-varying nature of hourly price patterns. The daily average price and hourly ratio relative to the daily average encode the typical shape of the daily price curve. Profile features computed over 14-day and 28-day windows capture the recent evolution of these patterns, while profile momentum measures the rate of change in the profile shape. Solar-specific features account for the growing penetration of photovoltaic generation in Turkey, including solar ratio, solar profiles, and price-solar interaction terms. These features enable the model to adapt to structural changes in the price formation process as the generation mix evolves.</w:t>
      </w:r>
    </w:p>
    <w:p>
      <w:pPr>
        <w:spacing w:after="120"/>
        <w:jc w:val="center"/>
      </w:pPr>
      <w:r>
        <w:rPr>
          <w:rFonts w:ascii="Times New Roman" w:hAnsi="Times New Roman"/>
          <w:b/>
          <w:sz w:val="20"/>
        </w:rPr>
        <w:t>Table 1. Consumption Model Features (23 total)</w:t>
      </w:r>
    </w:p>
    <w:tbl>
      <w:tblPr>
        <w:tblStyle w:val="TableGrid"/>
        <w:tblW w:type="auto" w:w="0"/>
        <w:jc w:val="center"/>
        <w:tblLook w:firstColumn="1" w:firstRow="1" w:lastColumn="0" w:lastRow="0" w:noHBand="0" w:noVBand="1" w:val="04A0"/>
      </w:tblPr>
      <w:tblGrid>
        <w:gridCol w:w="4320"/>
        <w:gridCol w:w="4320"/>
      </w:tblGrid>
      <w:tr>
        <w:tc>
          <w:tcPr>
            <w:tcW w:type="dxa" w:w="4320"/>
            <w:shd w:fill="D9D9D9"/>
          </w:tcPr>
          <w:p>
            <w:pPr>
              <w:jc w:val="center"/>
            </w:pPr>
            <w:r>
              <w:rPr>
                <w:rFonts w:ascii="Times New Roman" w:hAnsi="Times New Roman"/>
                <w:b/>
                <w:sz w:val="20"/>
              </w:rPr>
              <w:t>Feature Name</w:t>
            </w:r>
          </w:p>
        </w:tc>
        <w:tc>
          <w:tcPr>
            <w:tcW w:type="dxa" w:w="4320"/>
            <w:shd w:fill="D9D9D9"/>
          </w:tcPr>
          <w:p>
            <w:pPr>
              <w:jc w:val="center"/>
            </w:pPr>
            <w:r>
              <w:rPr>
                <w:rFonts w:ascii="Times New Roman" w:hAnsi="Times New Roman"/>
                <w:b/>
                <w:sz w:val="20"/>
              </w:rPr>
              <w:t>Description</w:t>
            </w:r>
          </w:p>
        </w:tc>
      </w:tr>
      <w:tr>
        <w:tc>
          <w:tcPr>
            <w:tcW w:type="dxa" w:w="4320"/>
          </w:tcPr>
          <w:p>
            <w:pPr>
              <w:jc w:val="center"/>
            </w:pPr>
            <w:r>
              <w:rPr>
                <w:rFonts w:ascii="Times New Roman" w:hAnsi="Times New Roman"/>
                <w:sz w:val="20"/>
              </w:rPr>
              <w:t>consumption_lag_24h</w:t>
            </w:r>
          </w:p>
        </w:tc>
        <w:tc>
          <w:tcPr>
            <w:tcW w:type="dxa" w:w="4320"/>
          </w:tcPr>
          <w:p>
            <w:pPr>
              <w:jc w:val="center"/>
            </w:pPr>
            <w:r>
              <w:rPr>
                <w:rFonts w:ascii="Times New Roman" w:hAnsi="Times New Roman"/>
                <w:sz w:val="20"/>
              </w:rPr>
              <w:t>Consumption value from 24 hours prior</w:t>
            </w:r>
          </w:p>
        </w:tc>
      </w:tr>
      <w:tr>
        <w:tc>
          <w:tcPr>
            <w:tcW w:type="dxa" w:w="4320"/>
          </w:tcPr>
          <w:p>
            <w:pPr>
              <w:jc w:val="center"/>
            </w:pPr>
            <w:r>
              <w:rPr>
                <w:rFonts w:ascii="Times New Roman" w:hAnsi="Times New Roman"/>
                <w:sz w:val="20"/>
              </w:rPr>
              <w:t>consumption_lag_48h</w:t>
            </w:r>
          </w:p>
        </w:tc>
        <w:tc>
          <w:tcPr>
            <w:tcW w:type="dxa" w:w="4320"/>
          </w:tcPr>
          <w:p>
            <w:pPr>
              <w:jc w:val="center"/>
            </w:pPr>
            <w:r>
              <w:rPr>
                <w:rFonts w:ascii="Times New Roman" w:hAnsi="Times New Roman"/>
                <w:sz w:val="20"/>
              </w:rPr>
              <w:t>Consumption value from 48 hours prior</w:t>
            </w:r>
          </w:p>
        </w:tc>
      </w:tr>
      <w:tr>
        <w:tc>
          <w:tcPr>
            <w:tcW w:type="dxa" w:w="4320"/>
          </w:tcPr>
          <w:p>
            <w:pPr>
              <w:jc w:val="center"/>
            </w:pPr>
            <w:r>
              <w:rPr>
                <w:rFonts w:ascii="Times New Roman" w:hAnsi="Times New Roman"/>
                <w:sz w:val="20"/>
              </w:rPr>
              <w:t>consumption_lag_168h</w:t>
            </w:r>
          </w:p>
        </w:tc>
        <w:tc>
          <w:tcPr>
            <w:tcW w:type="dxa" w:w="4320"/>
          </w:tcPr>
          <w:p>
            <w:pPr>
              <w:jc w:val="center"/>
            </w:pPr>
            <w:r>
              <w:rPr>
                <w:rFonts w:ascii="Times New Roman" w:hAnsi="Times New Roman"/>
                <w:sz w:val="20"/>
              </w:rPr>
              <w:t>Consumption value from one week prior</w:t>
            </w:r>
          </w:p>
        </w:tc>
      </w:tr>
      <w:tr>
        <w:tc>
          <w:tcPr>
            <w:tcW w:type="dxa" w:w="4320"/>
          </w:tcPr>
          <w:p>
            <w:pPr>
              <w:jc w:val="center"/>
            </w:pPr>
            <w:r>
              <w:rPr>
                <w:rFonts w:ascii="Times New Roman" w:hAnsi="Times New Roman"/>
                <w:sz w:val="20"/>
              </w:rPr>
              <w:t>consumption_rolling_mean_24h</w:t>
            </w:r>
          </w:p>
        </w:tc>
        <w:tc>
          <w:tcPr>
            <w:tcW w:type="dxa" w:w="4320"/>
          </w:tcPr>
          <w:p>
            <w:pPr>
              <w:jc w:val="center"/>
            </w:pPr>
            <w:r>
              <w:rPr>
                <w:rFonts w:ascii="Times New Roman" w:hAnsi="Times New Roman"/>
                <w:sz w:val="20"/>
              </w:rPr>
              <w:t>24-hour rolling mean of consumption</w:t>
            </w:r>
          </w:p>
        </w:tc>
      </w:tr>
      <w:tr>
        <w:tc>
          <w:tcPr>
            <w:tcW w:type="dxa" w:w="4320"/>
          </w:tcPr>
          <w:p>
            <w:pPr>
              <w:jc w:val="center"/>
            </w:pPr>
            <w:r>
              <w:rPr>
                <w:rFonts w:ascii="Times New Roman" w:hAnsi="Times New Roman"/>
                <w:sz w:val="20"/>
              </w:rPr>
              <w:t>consumption_rolling_std_24h</w:t>
            </w:r>
          </w:p>
        </w:tc>
        <w:tc>
          <w:tcPr>
            <w:tcW w:type="dxa" w:w="4320"/>
          </w:tcPr>
          <w:p>
            <w:pPr>
              <w:jc w:val="center"/>
            </w:pPr>
            <w:r>
              <w:rPr>
                <w:rFonts w:ascii="Times New Roman" w:hAnsi="Times New Roman"/>
                <w:sz w:val="20"/>
              </w:rPr>
              <w:t>24-hour rolling standard deviation</w:t>
            </w:r>
          </w:p>
        </w:tc>
      </w:tr>
      <w:tr>
        <w:tc>
          <w:tcPr>
            <w:tcW w:type="dxa" w:w="4320"/>
          </w:tcPr>
          <w:p>
            <w:pPr>
              <w:jc w:val="center"/>
            </w:pPr>
            <w:r>
              <w:rPr>
                <w:rFonts w:ascii="Times New Roman" w:hAnsi="Times New Roman"/>
                <w:sz w:val="20"/>
              </w:rPr>
              <w:t>temp_national</w:t>
            </w:r>
          </w:p>
        </w:tc>
        <w:tc>
          <w:tcPr>
            <w:tcW w:type="dxa" w:w="4320"/>
          </w:tcPr>
          <w:p>
            <w:pPr>
              <w:jc w:val="center"/>
            </w:pPr>
            <w:r>
              <w:rPr>
                <w:rFonts w:ascii="Times New Roman" w:hAnsi="Times New Roman"/>
                <w:sz w:val="20"/>
              </w:rPr>
              <w:t>Population-weighted national temperature</w:t>
            </w:r>
          </w:p>
        </w:tc>
      </w:tr>
      <w:tr>
        <w:tc>
          <w:tcPr>
            <w:tcW w:type="dxa" w:w="4320"/>
          </w:tcPr>
          <w:p>
            <w:pPr>
              <w:jc w:val="center"/>
            </w:pPr>
            <w:r>
              <w:rPr>
                <w:rFonts w:ascii="Times New Roman" w:hAnsi="Times New Roman"/>
                <w:sz w:val="20"/>
              </w:rPr>
              <w:t>humidity_national</w:t>
            </w:r>
          </w:p>
        </w:tc>
        <w:tc>
          <w:tcPr>
            <w:tcW w:type="dxa" w:w="4320"/>
          </w:tcPr>
          <w:p>
            <w:pPr>
              <w:jc w:val="center"/>
            </w:pPr>
            <w:r>
              <w:rPr>
                <w:rFonts w:ascii="Times New Roman" w:hAnsi="Times New Roman"/>
                <w:sz w:val="20"/>
              </w:rPr>
              <w:t>Population-weighted national humidity</w:t>
            </w:r>
          </w:p>
        </w:tc>
      </w:tr>
      <w:tr>
        <w:tc>
          <w:tcPr>
            <w:tcW w:type="dxa" w:w="4320"/>
          </w:tcPr>
          <w:p>
            <w:pPr>
              <w:jc w:val="center"/>
            </w:pPr>
            <w:r>
              <w:rPr>
                <w:rFonts w:ascii="Times New Roman" w:hAnsi="Times New Roman"/>
                <w:sz w:val="20"/>
              </w:rPr>
              <w:t>HDD</w:t>
            </w:r>
          </w:p>
        </w:tc>
        <w:tc>
          <w:tcPr>
            <w:tcW w:type="dxa" w:w="4320"/>
          </w:tcPr>
          <w:p>
            <w:pPr>
              <w:jc w:val="center"/>
            </w:pPr>
            <w:r>
              <w:rPr>
                <w:rFonts w:ascii="Times New Roman" w:hAnsi="Times New Roman"/>
                <w:sz w:val="20"/>
              </w:rPr>
              <w:t>Heating Degree Days</w:t>
            </w:r>
          </w:p>
        </w:tc>
      </w:tr>
      <w:tr>
        <w:tc>
          <w:tcPr>
            <w:tcW w:type="dxa" w:w="4320"/>
          </w:tcPr>
          <w:p>
            <w:pPr>
              <w:jc w:val="center"/>
            </w:pPr>
            <w:r>
              <w:rPr>
                <w:rFonts w:ascii="Times New Roman" w:hAnsi="Times New Roman"/>
                <w:sz w:val="20"/>
              </w:rPr>
              <w:t>CDD</w:t>
            </w:r>
          </w:p>
        </w:tc>
        <w:tc>
          <w:tcPr>
            <w:tcW w:type="dxa" w:w="4320"/>
          </w:tcPr>
          <w:p>
            <w:pPr>
              <w:jc w:val="center"/>
            </w:pPr>
            <w:r>
              <w:rPr>
                <w:rFonts w:ascii="Times New Roman" w:hAnsi="Times New Roman"/>
                <w:sz w:val="20"/>
              </w:rPr>
              <w:t>Cooling Degree Days</w:t>
            </w:r>
          </w:p>
        </w:tc>
      </w:tr>
      <w:tr>
        <w:tc>
          <w:tcPr>
            <w:tcW w:type="dxa" w:w="4320"/>
          </w:tcPr>
          <w:p>
            <w:pPr>
              <w:jc w:val="center"/>
            </w:pPr>
            <w:r>
              <w:rPr>
                <w:rFonts w:ascii="Times New Roman" w:hAnsi="Times New Roman"/>
                <w:sz w:val="20"/>
              </w:rPr>
              <w:t>heat_index</w:t>
            </w:r>
          </w:p>
        </w:tc>
        <w:tc>
          <w:tcPr>
            <w:tcW w:type="dxa" w:w="4320"/>
          </w:tcPr>
          <w:p>
            <w:pPr>
              <w:jc w:val="center"/>
            </w:pPr>
            <w:r>
              <w:rPr>
                <w:rFonts w:ascii="Times New Roman" w:hAnsi="Times New Roman"/>
                <w:sz w:val="20"/>
              </w:rPr>
              <w:t>Combined temperature-humidity index</w:t>
            </w:r>
          </w:p>
        </w:tc>
      </w:tr>
      <w:tr>
        <w:tc>
          <w:tcPr>
            <w:tcW w:type="dxa" w:w="4320"/>
          </w:tcPr>
          <w:p>
            <w:pPr>
              <w:jc w:val="center"/>
            </w:pPr>
            <w:r>
              <w:rPr>
                <w:rFonts w:ascii="Times New Roman" w:hAnsi="Times New Roman"/>
                <w:sz w:val="20"/>
              </w:rPr>
              <w:t>is_hot</w:t>
            </w:r>
          </w:p>
        </w:tc>
        <w:tc>
          <w:tcPr>
            <w:tcW w:type="dxa" w:w="4320"/>
          </w:tcPr>
          <w:p>
            <w:pPr>
              <w:jc w:val="center"/>
            </w:pPr>
            <w:r>
              <w:rPr>
                <w:rFonts w:ascii="Times New Roman" w:hAnsi="Times New Roman"/>
                <w:sz w:val="20"/>
              </w:rPr>
              <w:t>Binary indicator for hot conditions</w:t>
            </w:r>
          </w:p>
        </w:tc>
      </w:tr>
      <w:tr>
        <w:tc>
          <w:tcPr>
            <w:tcW w:type="dxa" w:w="4320"/>
          </w:tcPr>
          <w:p>
            <w:pPr>
              <w:jc w:val="center"/>
            </w:pPr>
            <w:r>
              <w:rPr>
                <w:rFonts w:ascii="Times New Roman" w:hAnsi="Times New Roman"/>
                <w:sz w:val="20"/>
              </w:rPr>
              <w:t>is_cold</w:t>
            </w:r>
          </w:p>
        </w:tc>
        <w:tc>
          <w:tcPr>
            <w:tcW w:type="dxa" w:w="4320"/>
          </w:tcPr>
          <w:p>
            <w:pPr>
              <w:jc w:val="center"/>
            </w:pPr>
            <w:r>
              <w:rPr>
                <w:rFonts w:ascii="Times New Roman" w:hAnsi="Times New Roman"/>
                <w:sz w:val="20"/>
              </w:rPr>
              <w:t>Binary indicator for cold conditions</w:t>
            </w:r>
          </w:p>
        </w:tc>
      </w:tr>
      <w:tr>
        <w:tc>
          <w:tcPr>
            <w:tcW w:type="dxa" w:w="4320"/>
          </w:tcPr>
          <w:p>
            <w:pPr>
              <w:jc w:val="center"/>
            </w:pPr>
            <w:r>
              <w:rPr>
                <w:rFonts w:ascii="Times New Roman" w:hAnsi="Times New Roman"/>
                <w:sz w:val="20"/>
              </w:rPr>
              <w:t>temp_lag_24h</w:t>
            </w:r>
          </w:p>
        </w:tc>
        <w:tc>
          <w:tcPr>
            <w:tcW w:type="dxa" w:w="4320"/>
          </w:tcPr>
          <w:p>
            <w:pPr>
              <w:jc w:val="center"/>
            </w:pPr>
            <w:r>
              <w:rPr>
                <w:rFonts w:ascii="Times New Roman" w:hAnsi="Times New Roman"/>
                <w:sz w:val="20"/>
              </w:rPr>
              <w:t>Temperature from 24 hours prior</w:t>
            </w:r>
          </w:p>
        </w:tc>
      </w:tr>
      <w:tr>
        <w:tc>
          <w:tcPr>
            <w:tcW w:type="dxa" w:w="4320"/>
          </w:tcPr>
          <w:p>
            <w:pPr>
              <w:jc w:val="center"/>
            </w:pPr>
            <w:r>
              <w:rPr>
                <w:rFonts w:ascii="Times New Roman" w:hAnsi="Times New Roman"/>
                <w:sz w:val="20"/>
              </w:rPr>
              <w:t>hour_sin, hour_cos</w:t>
            </w:r>
          </w:p>
        </w:tc>
        <w:tc>
          <w:tcPr>
            <w:tcW w:type="dxa" w:w="4320"/>
          </w:tcPr>
          <w:p>
            <w:pPr>
              <w:jc w:val="center"/>
            </w:pPr>
            <w:r>
              <w:rPr>
                <w:rFonts w:ascii="Times New Roman" w:hAnsi="Times New Roman"/>
                <w:sz w:val="20"/>
              </w:rPr>
              <w:t>Cyclical encoding of hour of day</w:t>
            </w:r>
          </w:p>
        </w:tc>
      </w:tr>
      <w:tr>
        <w:tc>
          <w:tcPr>
            <w:tcW w:type="dxa" w:w="4320"/>
          </w:tcPr>
          <w:p>
            <w:pPr>
              <w:jc w:val="center"/>
            </w:pPr>
            <w:r>
              <w:rPr>
                <w:rFonts w:ascii="Times New Roman" w:hAnsi="Times New Roman"/>
                <w:sz w:val="20"/>
              </w:rPr>
              <w:t>dow_sin, dow_cos</w:t>
            </w:r>
          </w:p>
        </w:tc>
        <w:tc>
          <w:tcPr>
            <w:tcW w:type="dxa" w:w="4320"/>
          </w:tcPr>
          <w:p>
            <w:pPr>
              <w:jc w:val="center"/>
            </w:pPr>
            <w:r>
              <w:rPr>
                <w:rFonts w:ascii="Times New Roman" w:hAnsi="Times New Roman"/>
                <w:sz w:val="20"/>
              </w:rPr>
              <w:t>Cyclical encoding of day of week</w:t>
            </w:r>
          </w:p>
        </w:tc>
      </w:tr>
      <w:tr>
        <w:tc>
          <w:tcPr>
            <w:tcW w:type="dxa" w:w="4320"/>
          </w:tcPr>
          <w:p>
            <w:pPr>
              <w:jc w:val="center"/>
            </w:pPr>
            <w:r>
              <w:rPr>
                <w:rFonts w:ascii="Times New Roman" w:hAnsi="Times New Roman"/>
                <w:sz w:val="20"/>
              </w:rPr>
              <w:t>month_sin, month_cos</w:t>
            </w:r>
          </w:p>
        </w:tc>
        <w:tc>
          <w:tcPr>
            <w:tcW w:type="dxa" w:w="4320"/>
          </w:tcPr>
          <w:p>
            <w:pPr>
              <w:jc w:val="center"/>
            </w:pPr>
            <w:r>
              <w:rPr>
                <w:rFonts w:ascii="Times New Roman" w:hAnsi="Times New Roman"/>
                <w:sz w:val="20"/>
              </w:rPr>
              <w:t>Cyclical encoding of month</w:t>
            </w:r>
          </w:p>
        </w:tc>
      </w:tr>
      <w:tr>
        <w:tc>
          <w:tcPr>
            <w:tcW w:type="dxa" w:w="4320"/>
          </w:tcPr>
          <w:p>
            <w:pPr>
              <w:jc w:val="center"/>
            </w:pPr>
            <w:r>
              <w:rPr>
                <w:rFonts w:ascii="Times New Roman" w:hAnsi="Times New Roman"/>
                <w:sz w:val="20"/>
              </w:rPr>
              <w:t>is_weekend</w:t>
            </w:r>
          </w:p>
        </w:tc>
        <w:tc>
          <w:tcPr>
            <w:tcW w:type="dxa" w:w="4320"/>
          </w:tcPr>
          <w:p>
            <w:pPr>
              <w:jc w:val="center"/>
            </w:pPr>
            <w:r>
              <w:rPr>
                <w:rFonts w:ascii="Times New Roman" w:hAnsi="Times New Roman"/>
                <w:sz w:val="20"/>
              </w:rPr>
              <w:t>Binary weekend indicator</w:t>
            </w:r>
          </w:p>
        </w:tc>
      </w:tr>
      <w:tr>
        <w:tc>
          <w:tcPr>
            <w:tcW w:type="dxa" w:w="4320"/>
          </w:tcPr>
          <w:p>
            <w:pPr>
              <w:jc w:val="center"/>
            </w:pPr>
            <w:r>
              <w:rPr>
                <w:rFonts w:ascii="Times New Roman" w:hAnsi="Times New Roman"/>
                <w:sz w:val="20"/>
              </w:rPr>
              <w:t>is_holiday_day</w:t>
            </w:r>
          </w:p>
        </w:tc>
        <w:tc>
          <w:tcPr>
            <w:tcW w:type="dxa" w:w="4320"/>
          </w:tcPr>
          <w:p>
            <w:pPr>
              <w:jc w:val="center"/>
            </w:pPr>
            <w:r>
              <w:rPr>
                <w:rFonts w:ascii="Times New Roman" w:hAnsi="Times New Roman"/>
                <w:sz w:val="20"/>
              </w:rPr>
              <w:t>Binary day-level holiday indicator</w:t>
            </w:r>
          </w:p>
        </w:tc>
      </w:tr>
      <w:tr>
        <w:tc>
          <w:tcPr>
            <w:tcW w:type="dxa" w:w="4320"/>
          </w:tcPr>
          <w:p>
            <w:pPr>
              <w:jc w:val="center"/>
            </w:pPr>
            <w:r>
              <w:rPr>
                <w:rFonts w:ascii="Times New Roman" w:hAnsi="Times New Roman"/>
                <w:sz w:val="20"/>
              </w:rPr>
              <w:t>is_holiday_hour</w:t>
            </w:r>
          </w:p>
        </w:tc>
        <w:tc>
          <w:tcPr>
            <w:tcW w:type="dxa" w:w="4320"/>
          </w:tcPr>
          <w:p>
            <w:pPr>
              <w:jc w:val="center"/>
            </w:pPr>
            <w:r>
              <w:rPr>
                <w:rFonts w:ascii="Times New Roman" w:hAnsi="Times New Roman"/>
                <w:sz w:val="20"/>
              </w:rPr>
              <w:t>Binary hour-level holiday indicator</w:t>
            </w:r>
          </w:p>
        </w:tc>
      </w:tr>
      <w:tr>
        <w:tc>
          <w:tcPr>
            <w:tcW w:type="dxa" w:w="4320"/>
          </w:tcPr>
          <w:p>
            <w:pPr>
              <w:jc w:val="center"/>
            </w:pPr>
            <w:r>
              <w:rPr>
                <w:rFonts w:ascii="Times New Roman" w:hAnsi="Times New Roman"/>
                <w:sz w:val="20"/>
              </w:rPr>
              <w:t>price_ptf_lag_24h</w:t>
            </w:r>
          </w:p>
        </w:tc>
        <w:tc>
          <w:tcPr>
            <w:tcW w:type="dxa" w:w="4320"/>
          </w:tcPr>
          <w:p>
            <w:pPr>
              <w:jc w:val="center"/>
            </w:pPr>
            <w:r>
              <w:rPr>
                <w:rFonts w:ascii="Times New Roman" w:hAnsi="Times New Roman"/>
                <w:sz w:val="20"/>
              </w:rPr>
              <w:t>Day-ahead price from 24 hours prior</w:t>
            </w:r>
          </w:p>
        </w:tc>
      </w:tr>
    </w:tbl>
    <w:p/>
    <w:p>
      <w:pPr>
        <w:spacing w:after="120"/>
        <w:jc w:val="center"/>
      </w:pPr>
      <w:r>
        <w:rPr>
          <w:rFonts w:ascii="Times New Roman" w:hAnsi="Times New Roman"/>
          <w:b/>
          <w:sz w:val="20"/>
        </w:rPr>
        <w:t>Table 2. Price Model Features (33 total)</w:t>
      </w:r>
    </w:p>
    <w:tbl>
      <w:tblPr>
        <w:tblStyle w:val="TableGrid"/>
        <w:tblW w:type="auto" w:w="0"/>
        <w:jc w:val="center"/>
        <w:tblLook w:firstColumn="1" w:firstRow="1" w:lastColumn="0" w:lastRow="0" w:noHBand="0" w:noVBand="1" w:val="04A0"/>
      </w:tblPr>
      <w:tblGrid>
        <w:gridCol w:w="4320"/>
        <w:gridCol w:w="4320"/>
      </w:tblGrid>
      <w:tr>
        <w:tc>
          <w:tcPr>
            <w:tcW w:type="dxa" w:w="4320"/>
            <w:shd w:fill="D9D9D9"/>
          </w:tcPr>
          <w:p>
            <w:pPr>
              <w:jc w:val="center"/>
            </w:pPr>
            <w:r>
              <w:rPr>
                <w:rFonts w:ascii="Times New Roman" w:hAnsi="Times New Roman"/>
                <w:b/>
                <w:sz w:val="20"/>
              </w:rPr>
              <w:t>Feature Name</w:t>
            </w:r>
          </w:p>
        </w:tc>
        <w:tc>
          <w:tcPr>
            <w:tcW w:type="dxa" w:w="4320"/>
            <w:shd w:fill="D9D9D9"/>
          </w:tcPr>
          <w:p>
            <w:pPr>
              <w:jc w:val="center"/>
            </w:pPr>
            <w:r>
              <w:rPr>
                <w:rFonts w:ascii="Times New Roman" w:hAnsi="Times New Roman"/>
                <w:b/>
                <w:sz w:val="20"/>
              </w:rPr>
              <w:t>Description</w:t>
            </w:r>
          </w:p>
        </w:tc>
      </w:tr>
      <w:tr>
        <w:tc>
          <w:tcPr>
            <w:tcW w:type="dxa" w:w="4320"/>
          </w:tcPr>
          <w:p>
            <w:pPr>
              <w:jc w:val="center"/>
            </w:pPr>
            <w:r>
              <w:rPr>
                <w:rFonts w:ascii="Times New Roman" w:hAnsi="Times New Roman"/>
                <w:sz w:val="20"/>
              </w:rPr>
              <w:t>hour_sin, hour_cos</w:t>
            </w:r>
          </w:p>
        </w:tc>
        <w:tc>
          <w:tcPr>
            <w:tcW w:type="dxa" w:w="4320"/>
          </w:tcPr>
          <w:p>
            <w:pPr>
              <w:jc w:val="center"/>
            </w:pPr>
            <w:r>
              <w:rPr>
                <w:rFonts w:ascii="Times New Roman" w:hAnsi="Times New Roman"/>
                <w:sz w:val="20"/>
              </w:rPr>
              <w:t>Cyclical encoding of hour of day</w:t>
            </w:r>
          </w:p>
        </w:tc>
      </w:tr>
      <w:tr>
        <w:tc>
          <w:tcPr>
            <w:tcW w:type="dxa" w:w="4320"/>
          </w:tcPr>
          <w:p>
            <w:pPr>
              <w:jc w:val="center"/>
            </w:pPr>
            <w:r>
              <w:rPr>
                <w:rFonts w:ascii="Times New Roman" w:hAnsi="Times New Roman"/>
                <w:sz w:val="20"/>
              </w:rPr>
              <w:t>dow_sin, dow_cos</w:t>
            </w:r>
          </w:p>
        </w:tc>
        <w:tc>
          <w:tcPr>
            <w:tcW w:type="dxa" w:w="4320"/>
          </w:tcPr>
          <w:p>
            <w:pPr>
              <w:jc w:val="center"/>
            </w:pPr>
            <w:r>
              <w:rPr>
                <w:rFonts w:ascii="Times New Roman" w:hAnsi="Times New Roman"/>
                <w:sz w:val="20"/>
              </w:rPr>
              <w:t>Cyclical encoding of day of week</w:t>
            </w:r>
          </w:p>
        </w:tc>
      </w:tr>
      <w:tr>
        <w:tc>
          <w:tcPr>
            <w:tcW w:type="dxa" w:w="4320"/>
          </w:tcPr>
          <w:p>
            <w:pPr>
              <w:jc w:val="center"/>
            </w:pPr>
            <w:r>
              <w:rPr>
                <w:rFonts w:ascii="Times New Roman" w:hAnsi="Times New Roman"/>
                <w:sz w:val="20"/>
              </w:rPr>
              <w:t>is_weekend</w:t>
            </w:r>
          </w:p>
        </w:tc>
        <w:tc>
          <w:tcPr>
            <w:tcW w:type="dxa" w:w="4320"/>
          </w:tcPr>
          <w:p>
            <w:pPr>
              <w:jc w:val="center"/>
            </w:pPr>
            <w:r>
              <w:rPr>
                <w:rFonts w:ascii="Times New Roman" w:hAnsi="Times New Roman"/>
                <w:sz w:val="20"/>
              </w:rPr>
              <w:t>Binary weekend indicator</w:t>
            </w:r>
          </w:p>
        </w:tc>
      </w:tr>
      <w:tr>
        <w:tc>
          <w:tcPr>
            <w:tcW w:type="dxa" w:w="4320"/>
          </w:tcPr>
          <w:p>
            <w:pPr>
              <w:jc w:val="center"/>
            </w:pPr>
            <w:r>
              <w:rPr>
                <w:rFonts w:ascii="Times New Roman" w:hAnsi="Times New Roman"/>
                <w:sz w:val="20"/>
              </w:rPr>
              <w:t>price_ptf_rolling_std_24h</w:t>
            </w:r>
          </w:p>
        </w:tc>
        <w:tc>
          <w:tcPr>
            <w:tcW w:type="dxa" w:w="4320"/>
          </w:tcPr>
          <w:p>
            <w:pPr>
              <w:jc w:val="center"/>
            </w:pPr>
            <w:r>
              <w:rPr>
                <w:rFonts w:ascii="Times New Roman" w:hAnsi="Times New Roman"/>
                <w:sz w:val="20"/>
              </w:rPr>
              <w:t>24-hour rolling price volatility</w:t>
            </w:r>
          </w:p>
        </w:tc>
      </w:tr>
      <w:tr>
        <w:tc>
          <w:tcPr>
            <w:tcW w:type="dxa" w:w="4320"/>
          </w:tcPr>
          <w:p>
            <w:pPr>
              <w:jc w:val="center"/>
            </w:pPr>
            <w:r>
              <w:rPr>
                <w:rFonts w:ascii="Times New Roman" w:hAnsi="Times New Roman"/>
                <w:sz w:val="20"/>
              </w:rPr>
              <w:t>price_ptf_rolling_mean_24h</w:t>
            </w:r>
          </w:p>
        </w:tc>
        <w:tc>
          <w:tcPr>
            <w:tcW w:type="dxa" w:w="4320"/>
          </w:tcPr>
          <w:p>
            <w:pPr>
              <w:jc w:val="center"/>
            </w:pPr>
            <w:r>
              <w:rPr>
                <w:rFonts w:ascii="Times New Roman" w:hAnsi="Times New Roman"/>
                <w:sz w:val="20"/>
              </w:rPr>
              <w:t>24-hour rolling price average</w:t>
            </w:r>
          </w:p>
        </w:tc>
      </w:tr>
      <w:tr>
        <w:tc>
          <w:tcPr>
            <w:tcW w:type="dxa" w:w="4320"/>
          </w:tcPr>
          <w:p>
            <w:pPr>
              <w:jc w:val="center"/>
            </w:pPr>
            <w:r>
              <w:rPr>
                <w:rFonts w:ascii="Times New Roman" w:hAnsi="Times New Roman"/>
                <w:sz w:val="20"/>
              </w:rPr>
              <w:t>price_ptf_rolling_min_24h</w:t>
            </w:r>
          </w:p>
        </w:tc>
        <w:tc>
          <w:tcPr>
            <w:tcW w:type="dxa" w:w="4320"/>
          </w:tcPr>
          <w:p>
            <w:pPr>
              <w:jc w:val="center"/>
            </w:pPr>
            <w:r>
              <w:rPr>
                <w:rFonts w:ascii="Times New Roman" w:hAnsi="Times New Roman"/>
                <w:sz w:val="20"/>
              </w:rPr>
              <w:t>24-hour rolling price minimum</w:t>
            </w:r>
          </w:p>
        </w:tc>
      </w:tr>
      <w:tr>
        <w:tc>
          <w:tcPr>
            <w:tcW w:type="dxa" w:w="4320"/>
          </w:tcPr>
          <w:p>
            <w:pPr>
              <w:jc w:val="center"/>
            </w:pPr>
            <w:r>
              <w:rPr>
                <w:rFonts w:ascii="Times New Roman" w:hAnsi="Times New Roman"/>
                <w:sz w:val="20"/>
              </w:rPr>
              <w:t>price_ptf_rolling_max_24h</w:t>
            </w:r>
          </w:p>
        </w:tc>
        <w:tc>
          <w:tcPr>
            <w:tcW w:type="dxa" w:w="4320"/>
          </w:tcPr>
          <w:p>
            <w:pPr>
              <w:jc w:val="center"/>
            </w:pPr>
            <w:r>
              <w:rPr>
                <w:rFonts w:ascii="Times New Roman" w:hAnsi="Times New Roman"/>
                <w:sz w:val="20"/>
              </w:rPr>
              <w:t>24-hour rolling price maximum</w:t>
            </w:r>
          </w:p>
        </w:tc>
      </w:tr>
      <w:tr>
        <w:tc>
          <w:tcPr>
            <w:tcW w:type="dxa" w:w="4320"/>
          </w:tcPr>
          <w:p>
            <w:pPr>
              <w:jc w:val="center"/>
            </w:pPr>
            <w:r>
              <w:rPr>
                <w:rFonts w:ascii="Times New Roman" w:hAnsi="Times New Roman"/>
                <w:sz w:val="20"/>
              </w:rPr>
              <w:t>price_ptf_lag_24h</w:t>
            </w:r>
          </w:p>
        </w:tc>
        <w:tc>
          <w:tcPr>
            <w:tcW w:type="dxa" w:w="4320"/>
          </w:tcPr>
          <w:p>
            <w:pPr>
              <w:jc w:val="center"/>
            </w:pPr>
            <w:r>
              <w:rPr>
                <w:rFonts w:ascii="Times New Roman" w:hAnsi="Times New Roman"/>
                <w:sz w:val="20"/>
              </w:rPr>
              <w:t>Day-ahead price from 24 hours prior</w:t>
            </w:r>
          </w:p>
        </w:tc>
      </w:tr>
      <w:tr>
        <w:tc>
          <w:tcPr>
            <w:tcW w:type="dxa" w:w="4320"/>
          </w:tcPr>
          <w:p>
            <w:pPr>
              <w:jc w:val="center"/>
            </w:pPr>
            <w:r>
              <w:rPr>
                <w:rFonts w:ascii="Times New Roman" w:hAnsi="Times New Roman"/>
                <w:sz w:val="20"/>
              </w:rPr>
              <w:t>price_ptf_lag_168h</w:t>
            </w:r>
          </w:p>
        </w:tc>
        <w:tc>
          <w:tcPr>
            <w:tcW w:type="dxa" w:w="4320"/>
          </w:tcPr>
          <w:p>
            <w:pPr>
              <w:jc w:val="center"/>
            </w:pPr>
            <w:r>
              <w:rPr>
                <w:rFonts w:ascii="Times New Roman" w:hAnsi="Times New Roman"/>
                <w:sz w:val="20"/>
              </w:rPr>
              <w:t>Day-ahead price from one week prior</w:t>
            </w:r>
          </w:p>
        </w:tc>
      </w:tr>
      <w:tr>
        <w:tc>
          <w:tcPr>
            <w:tcW w:type="dxa" w:w="4320"/>
          </w:tcPr>
          <w:p>
            <w:pPr>
              <w:jc w:val="center"/>
            </w:pPr>
            <w:r>
              <w:rPr>
                <w:rFonts w:ascii="Times New Roman" w:hAnsi="Times New Roman"/>
                <w:sz w:val="20"/>
              </w:rPr>
              <w:t>thermal_gap</w:t>
            </w:r>
          </w:p>
        </w:tc>
        <w:tc>
          <w:tcPr>
            <w:tcW w:type="dxa" w:w="4320"/>
          </w:tcPr>
          <w:p>
            <w:pPr>
              <w:jc w:val="center"/>
            </w:pPr>
            <w:r>
              <w:rPr>
                <w:rFonts w:ascii="Times New Roman" w:hAnsi="Times New Roman"/>
                <w:sz w:val="20"/>
              </w:rPr>
              <w:t>Thermal capacity minus thermal generation</w:t>
            </w:r>
          </w:p>
        </w:tc>
      </w:tr>
      <w:tr>
        <w:tc>
          <w:tcPr>
            <w:tcW w:type="dxa" w:w="4320"/>
          </w:tcPr>
          <w:p>
            <w:pPr>
              <w:jc w:val="center"/>
            </w:pPr>
            <w:r>
              <w:rPr>
                <w:rFonts w:ascii="Times New Roman" w:hAnsi="Times New Roman"/>
                <w:sz w:val="20"/>
              </w:rPr>
              <w:t>thermal_gap_lag_24h</w:t>
            </w:r>
          </w:p>
        </w:tc>
        <w:tc>
          <w:tcPr>
            <w:tcW w:type="dxa" w:w="4320"/>
          </w:tcPr>
          <w:p>
            <w:pPr>
              <w:jc w:val="center"/>
            </w:pPr>
            <w:r>
              <w:rPr>
                <w:rFonts w:ascii="Times New Roman" w:hAnsi="Times New Roman"/>
                <w:sz w:val="20"/>
              </w:rPr>
              <w:t>Thermal gap from 24 hours prior</w:t>
            </w:r>
          </w:p>
        </w:tc>
      </w:tr>
      <w:tr>
        <w:tc>
          <w:tcPr>
            <w:tcW w:type="dxa" w:w="4320"/>
          </w:tcPr>
          <w:p>
            <w:pPr>
              <w:jc w:val="center"/>
            </w:pPr>
            <w:r>
              <w:rPr>
                <w:rFonts w:ascii="Times New Roman" w:hAnsi="Times New Roman"/>
                <w:sz w:val="20"/>
              </w:rPr>
              <w:t>renewable_saturation</w:t>
            </w:r>
          </w:p>
        </w:tc>
        <w:tc>
          <w:tcPr>
            <w:tcW w:type="dxa" w:w="4320"/>
          </w:tcPr>
          <w:p>
            <w:pPr>
              <w:jc w:val="center"/>
            </w:pPr>
            <w:r>
              <w:rPr>
                <w:rFonts w:ascii="Times New Roman" w:hAnsi="Times New Roman"/>
                <w:sz w:val="20"/>
              </w:rPr>
              <w:t>Renewable generation as fraction of demand</w:t>
            </w:r>
          </w:p>
        </w:tc>
      </w:tr>
      <w:tr>
        <w:tc>
          <w:tcPr>
            <w:tcW w:type="dxa" w:w="4320"/>
          </w:tcPr>
          <w:p>
            <w:pPr>
              <w:jc w:val="center"/>
            </w:pPr>
            <w:r>
              <w:rPr>
                <w:rFonts w:ascii="Times New Roman" w:hAnsi="Times New Roman"/>
                <w:sz w:val="20"/>
              </w:rPr>
              <w:t>spark_spread_proxy_lag_24h</w:t>
            </w:r>
          </w:p>
        </w:tc>
        <w:tc>
          <w:tcPr>
            <w:tcW w:type="dxa" w:w="4320"/>
          </w:tcPr>
          <w:p>
            <w:pPr>
              <w:jc w:val="center"/>
            </w:pPr>
            <w:r>
              <w:rPr>
                <w:rFonts w:ascii="Times New Roman" w:hAnsi="Times New Roman"/>
                <w:sz w:val="20"/>
              </w:rPr>
              <w:t>Historical spark spread proxy</w:t>
            </w:r>
          </w:p>
        </w:tc>
      </w:tr>
      <w:tr>
        <w:tc>
          <w:tcPr>
            <w:tcW w:type="dxa" w:w="4320"/>
          </w:tcPr>
          <w:p>
            <w:pPr>
              <w:jc w:val="center"/>
            </w:pPr>
            <w:r>
              <w:rPr>
                <w:rFonts w:ascii="Times New Roman" w:hAnsi="Times New Roman"/>
                <w:sz w:val="20"/>
              </w:rPr>
              <w:t>system_short_signal</w:t>
            </w:r>
          </w:p>
        </w:tc>
        <w:tc>
          <w:tcPr>
            <w:tcW w:type="dxa" w:w="4320"/>
          </w:tcPr>
          <w:p>
            <w:pPr>
              <w:jc w:val="center"/>
            </w:pPr>
            <w:r>
              <w:rPr>
                <w:rFonts w:ascii="Times New Roman" w:hAnsi="Times New Roman"/>
                <w:sz w:val="20"/>
              </w:rPr>
              <w:t>Binary indicator for system shortage</w:t>
            </w:r>
          </w:p>
        </w:tc>
      </w:tr>
      <w:tr>
        <w:tc>
          <w:tcPr>
            <w:tcW w:type="dxa" w:w="4320"/>
          </w:tcPr>
          <w:p>
            <w:pPr>
              <w:jc w:val="center"/>
            </w:pPr>
            <w:r>
              <w:rPr>
                <w:rFonts w:ascii="Times New Roman" w:hAnsi="Times New Roman"/>
                <w:sz w:val="20"/>
              </w:rPr>
              <w:t>load_factor</w:t>
            </w:r>
          </w:p>
        </w:tc>
        <w:tc>
          <w:tcPr>
            <w:tcW w:type="dxa" w:w="4320"/>
          </w:tcPr>
          <w:p>
            <w:pPr>
              <w:jc w:val="center"/>
            </w:pPr>
            <w:r>
              <w:rPr>
                <w:rFonts w:ascii="Times New Roman" w:hAnsi="Times New Roman"/>
                <w:sz w:val="20"/>
              </w:rPr>
              <w:t>Actual demand divided by peak capacity</w:t>
            </w:r>
          </w:p>
        </w:tc>
      </w:tr>
      <w:tr>
        <w:tc>
          <w:tcPr>
            <w:tcW w:type="dxa" w:w="4320"/>
          </w:tcPr>
          <w:p>
            <w:pPr>
              <w:jc w:val="center"/>
            </w:pPr>
            <w:r>
              <w:rPr>
                <w:rFonts w:ascii="Times New Roman" w:hAnsi="Times New Roman"/>
                <w:sz w:val="20"/>
              </w:rPr>
              <w:t>consumption_forecast</w:t>
            </w:r>
          </w:p>
        </w:tc>
        <w:tc>
          <w:tcPr>
            <w:tcW w:type="dxa" w:w="4320"/>
          </w:tcPr>
          <w:p>
            <w:pPr>
              <w:jc w:val="center"/>
            </w:pPr>
            <w:r>
              <w:rPr>
                <w:rFonts w:ascii="Times New Roman" w:hAnsi="Times New Roman"/>
                <w:sz w:val="20"/>
              </w:rPr>
              <w:t>Forecasted consumption for target hour</w:t>
            </w:r>
          </w:p>
        </w:tc>
      </w:tr>
      <w:tr>
        <w:tc>
          <w:tcPr>
            <w:tcW w:type="dxa" w:w="4320"/>
          </w:tcPr>
          <w:p>
            <w:pPr>
              <w:jc w:val="center"/>
            </w:pPr>
            <w:r>
              <w:rPr>
                <w:rFonts w:ascii="Times New Roman" w:hAnsi="Times New Roman"/>
                <w:sz w:val="20"/>
              </w:rPr>
              <w:t>reserve_margin_ratio</w:t>
            </w:r>
          </w:p>
        </w:tc>
        <w:tc>
          <w:tcPr>
            <w:tcW w:type="dxa" w:w="4320"/>
          </w:tcPr>
          <w:p>
            <w:pPr>
              <w:jc w:val="center"/>
            </w:pPr>
            <w:r>
              <w:rPr>
                <w:rFonts w:ascii="Times New Roman" w:hAnsi="Times New Roman"/>
                <w:sz w:val="20"/>
              </w:rPr>
              <w:t>Available reserve as fraction of demand</w:t>
            </w:r>
          </w:p>
        </w:tc>
      </w:tr>
      <w:tr>
        <w:tc>
          <w:tcPr>
            <w:tcW w:type="dxa" w:w="4320"/>
          </w:tcPr>
          <w:p>
            <w:pPr>
              <w:jc w:val="center"/>
            </w:pPr>
            <w:r>
              <w:rPr>
                <w:rFonts w:ascii="Times New Roman" w:hAnsi="Times New Roman"/>
                <w:sz w:val="20"/>
              </w:rPr>
              <w:t>price_volatility_lag24h</w:t>
            </w:r>
          </w:p>
        </w:tc>
        <w:tc>
          <w:tcPr>
            <w:tcW w:type="dxa" w:w="4320"/>
          </w:tcPr>
          <w:p>
            <w:pPr>
              <w:jc w:val="center"/>
            </w:pPr>
            <w:r>
              <w:rPr>
                <w:rFonts w:ascii="Times New Roman" w:hAnsi="Times New Roman"/>
                <w:sz w:val="20"/>
              </w:rPr>
              <w:t>Lagged price volatility measure</w:t>
            </w:r>
          </w:p>
        </w:tc>
      </w:tr>
      <w:tr>
        <w:tc>
          <w:tcPr>
            <w:tcW w:type="dxa" w:w="4320"/>
          </w:tcPr>
          <w:p>
            <w:pPr>
              <w:jc w:val="center"/>
            </w:pPr>
            <w:r>
              <w:rPr>
                <w:rFonts w:ascii="Times New Roman" w:hAnsi="Times New Roman"/>
                <w:sz w:val="20"/>
              </w:rPr>
              <w:t>realtime_premium_lag24h</w:t>
            </w:r>
          </w:p>
        </w:tc>
        <w:tc>
          <w:tcPr>
            <w:tcW w:type="dxa" w:w="4320"/>
          </w:tcPr>
          <w:p>
            <w:pPr>
              <w:jc w:val="center"/>
            </w:pPr>
            <w:r>
              <w:rPr>
                <w:rFonts w:ascii="Times New Roman" w:hAnsi="Times New Roman"/>
                <w:sz w:val="20"/>
              </w:rPr>
              <w:t>Lagged real-time price premium</w:t>
            </w:r>
          </w:p>
        </w:tc>
      </w:tr>
      <w:tr>
        <w:tc>
          <w:tcPr>
            <w:tcW w:type="dxa" w:w="4320"/>
          </w:tcPr>
          <w:p>
            <w:pPr>
              <w:jc w:val="center"/>
            </w:pPr>
            <w:r>
              <w:rPr>
                <w:rFonts w:ascii="Times New Roman" w:hAnsi="Times New Roman"/>
                <w:sz w:val="20"/>
              </w:rPr>
              <w:t>hour</w:t>
            </w:r>
          </w:p>
        </w:tc>
        <w:tc>
          <w:tcPr>
            <w:tcW w:type="dxa" w:w="4320"/>
          </w:tcPr>
          <w:p>
            <w:pPr>
              <w:jc w:val="center"/>
            </w:pPr>
            <w:r>
              <w:rPr>
                <w:rFonts w:ascii="Times New Roman" w:hAnsi="Times New Roman"/>
                <w:sz w:val="20"/>
              </w:rPr>
              <w:t>Hour of day (integer)</w:t>
            </w:r>
          </w:p>
        </w:tc>
      </w:tr>
      <w:tr>
        <w:tc>
          <w:tcPr>
            <w:tcW w:type="dxa" w:w="4320"/>
          </w:tcPr>
          <w:p>
            <w:pPr>
              <w:jc w:val="center"/>
            </w:pPr>
            <w:r>
              <w:rPr>
                <w:rFonts w:ascii="Times New Roman" w:hAnsi="Times New Roman"/>
                <w:sz w:val="20"/>
              </w:rPr>
              <w:t>daily_avg_price</w:t>
            </w:r>
          </w:p>
        </w:tc>
        <w:tc>
          <w:tcPr>
            <w:tcW w:type="dxa" w:w="4320"/>
          </w:tcPr>
          <w:p>
            <w:pPr>
              <w:jc w:val="center"/>
            </w:pPr>
            <w:r>
              <w:rPr>
                <w:rFonts w:ascii="Times New Roman" w:hAnsi="Times New Roman"/>
                <w:sz w:val="20"/>
              </w:rPr>
              <w:t>Daily average price level</w:t>
            </w:r>
          </w:p>
        </w:tc>
      </w:tr>
      <w:tr>
        <w:tc>
          <w:tcPr>
            <w:tcW w:type="dxa" w:w="4320"/>
          </w:tcPr>
          <w:p>
            <w:pPr>
              <w:jc w:val="center"/>
            </w:pPr>
            <w:r>
              <w:rPr>
                <w:rFonts w:ascii="Times New Roman" w:hAnsi="Times New Roman"/>
                <w:sz w:val="20"/>
              </w:rPr>
              <w:t>hourly_ratio</w:t>
            </w:r>
          </w:p>
        </w:tc>
        <w:tc>
          <w:tcPr>
            <w:tcW w:type="dxa" w:w="4320"/>
          </w:tcPr>
          <w:p>
            <w:pPr>
              <w:jc w:val="center"/>
            </w:pPr>
            <w:r>
              <w:rPr>
                <w:rFonts w:ascii="Times New Roman" w:hAnsi="Times New Roman"/>
                <w:sz w:val="20"/>
              </w:rPr>
              <w:t>Current hour price to daily average ratio</w:t>
            </w:r>
          </w:p>
        </w:tc>
      </w:tr>
      <w:tr>
        <w:tc>
          <w:tcPr>
            <w:tcW w:type="dxa" w:w="4320"/>
          </w:tcPr>
          <w:p>
            <w:pPr>
              <w:jc w:val="center"/>
            </w:pPr>
            <w:r>
              <w:rPr>
                <w:rFonts w:ascii="Times New Roman" w:hAnsi="Times New Roman"/>
                <w:sz w:val="20"/>
              </w:rPr>
              <w:t>profile_14d, profile_28d</w:t>
            </w:r>
          </w:p>
        </w:tc>
        <w:tc>
          <w:tcPr>
            <w:tcW w:type="dxa" w:w="4320"/>
          </w:tcPr>
          <w:p>
            <w:pPr>
              <w:jc w:val="center"/>
            </w:pPr>
            <w:r>
              <w:rPr>
                <w:rFonts w:ascii="Times New Roman" w:hAnsi="Times New Roman"/>
                <w:sz w:val="20"/>
              </w:rPr>
              <w:t>Hourly price profiles over rolling windows</w:t>
            </w:r>
          </w:p>
        </w:tc>
      </w:tr>
      <w:tr>
        <w:tc>
          <w:tcPr>
            <w:tcW w:type="dxa" w:w="4320"/>
          </w:tcPr>
          <w:p>
            <w:pPr>
              <w:jc w:val="center"/>
            </w:pPr>
            <w:r>
              <w:rPr>
                <w:rFonts w:ascii="Times New Roman" w:hAnsi="Times New Roman"/>
                <w:sz w:val="20"/>
              </w:rPr>
              <w:t>profile_momentum</w:t>
            </w:r>
          </w:p>
        </w:tc>
        <w:tc>
          <w:tcPr>
            <w:tcW w:type="dxa" w:w="4320"/>
          </w:tcPr>
          <w:p>
            <w:pPr>
              <w:jc w:val="center"/>
            </w:pPr>
            <w:r>
              <w:rPr>
                <w:rFonts w:ascii="Times New Roman" w:hAnsi="Times New Roman"/>
                <w:sz w:val="20"/>
              </w:rPr>
              <w:t>Rate of change in price profile</w:t>
            </w:r>
          </w:p>
        </w:tc>
      </w:tr>
      <w:tr>
        <w:tc>
          <w:tcPr>
            <w:tcW w:type="dxa" w:w="4320"/>
          </w:tcPr>
          <w:p>
            <w:pPr>
              <w:jc w:val="center"/>
            </w:pPr>
            <w:r>
              <w:rPr>
                <w:rFonts w:ascii="Times New Roman" w:hAnsi="Times New Roman"/>
                <w:sz w:val="20"/>
              </w:rPr>
              <w:t>daily_avg_momentum</w:t>
            </w:r>
          </w:p>
        </w:tc>
        <w:tc>
          <w:tcPr>
            <w:tcW w:type="dxa" w:w="4320"/>
          </w:tcPr>
          <w:p>
            <w:pPr>
              <w:jc w:val="center"/>
            </w:pPr>
            <w:r>
              <w:rPr>
                <w:rFonts w:ascii="Times New Roman" w:hAnsi="Times New Roman"/>
                <w:sz w:val="20"/>
              </w:rPr>
              <w:t>Rate of change in daily average price</w:t>
            </w:r>
          </w:p>
        </w:tc>
      </w:tr>
      <w:tr>
        <w:tc>
          <w:tcPr>
            <w:tcW w:type="dxa" w:w="4320"/>
          </w:tcPr>
          <w:p>
            <w:pPr>
              <w:jc w:val="center"/>
            </w:pPr>
            <w:r>
              <w:rPr>
                <w:rFonts w:ascii="Times New Roman" w:hAnsi="Times New Roman"/>
                <w:sz w:val="20"/>
              </w:rPr>
              <w:t>solar_ratio</w:t>
            </w:r>
          </w:p>
        </w:tc>
        <w:tc>
          <w:tcPr>
            <w:tcW w:type="dxa" w:w="4320"/>
          </w:tcPr>
          <w:p>
            <w:pPr>
              <w:jc w:val="center"/>
            </w:pPr>
            <w:r>
              <w:rPr>
                <w:rFonts w:ascii="Times New Roman" w:hAnsi="Times New Roman"/>
                <w:sz w:val="20"/>
              </w:rPr>
              <w:t>Solar generation as fraction of capacity</w:t>
            </w:r>
          </w:p>
        </w:tc>
      </w:tr>
      <w:tr>
        <w:tc>
          <w:tcPr>
            <w:tcW w:type="dxa" w:w="4320"/>
          </w:tcPr>
          <w:p>
            <w:pPr>
              <w:jc w:val="center"/>
            </w:pPr>
            <w:r>
              <w:rPr>
                <w:rFonts w:ascii="Times New Roman" w:hAnsi="Times New Roman"/>
                <w:sz w:val="20"/>
              </w:rPr>
              <w:t>solar_profile_14d, solar_profile_28d</w:t>
            </w:r>
          </w:p>
        </w:tc>
        <w:tc>
          <w:tcPr>
            <w:tcW w:type="dxa" w:w="4320"/>
          </w:tcPr>
          <w:p>
            <w:pPr>
              <w:jc w:val="center"/>
            </w:pPr>
            <w:r>
              <w:rPr>
                <w:rFonts w:ascii="Times New Roman" w:hAnsi="Times New Roman"/>
                <w:sz w:val="20"/>
              </w:rPr>
              <w:t>Solar generation profiles</w:t>
            </w:r>
          </w:p>
        </w:tc>
      </w:tr>
      <w:tr>
        <w:tc>
          <w:tcPr>
            <w:tcW w:type="dxa" w:w="4320"/>
          </w:tcPr>
          <w:p>
            <w:pPr>
              <w:jc w:val="center"/>
            </w:pPr>
            <w:r>
              <w:rPr>
                <w:rFonts w:ascii="Times New Roman" w:hAnsi="Times New Roman"/>
                <w:sz w:val="20"/>
              </w:rPr>
              <w:t>solar_momentum</w:t>
            </w:r>
          </w:p>
        </w:tc>
        <w:tc>
          <w:tcPr>
            <w:tcW w:type="dxa" w:w="4320"/>
          </w:tcPr>
          <w:p>
            <w:pPr>
              <w:jc w:val="center"/>
            </w:pPr>
            <w:r>
              <w:rPr>
                <w:rFonts w:ascii="Times New Roman" w:hAnsi="Times New Roman"/>
                <w:sz w:val="20"/>
              </w:rPr>
              <w:t>Rate of change in solar profile</w:t>
            </w:r>
          </w:p>
        </w:tc>
      </w:tr>
      <w:tr>
        <w:tc>
          <w:tcPr>
            <w:tcW w:type="dxa" w:w="4320"/>
          </w:tcPr>
          <w:p>
            <w:pPr>
              <w:jc w:val="center"/>
            </w:pPr>
            <w:r>
              <w:rPr>
                <w:rFonts w:ascii="Times New Roman" w:hAnsi="Times New Roman"/>
                <w:sz w:val="20"/>
              </w:rPr>
              <w:t>price_solar_interaction</w:t>
            </w:r>
          </w:p>
        </w:tc>
        <w:tc>
          <w:tcPr>
            <w:tcW w:type="dxa" w:w="4320"/>
          </w:tcPr>
          <w:p>
            <w:pPr>
              <w:jc w:val="center"/>
            </w:pPr>
            <w:r>
              <w:rPr>
                <w:rFonts w:ascii="Times New Roman" w:hAnsi="Times New Roman"/>
                <w:sz w:val="20"/>
              </w:rPr>
              <w:t>Interaction between price and solar features</w:t>
            </w:r>
          </w:p>
        </w:tc>
      </w:tr>
    </w:tbl>
    <w:p/>
    <w:p>
      <w:pPr>
        <w:spacing w:line="360" w:lineRule="auto"/>
        <w:ind w:firstLine="720"/>
        <w:jc w:val="both"/>
      </w:pPr>
      <w:r>
        <w:rPr>
          <w:rFonts w:ascii="Times New Roman" w:hAnsi="Times New Roman"/>
          <w:b w:val="0"/>
          <w:i w:val="0"/>
          <w:sz w:val="24"/>
        </w:rPr>
        <w:t>The master dataset is produced by merging all feature components through a systematic process implemented in the feature merger module. Features from different sources are aligned on timestamp and joined using inner merges to ensure temporal consistency. The resulting master dataset is stored in the Gold layer at data/gold/master/ in Apache Parquet format for efficient storage and retrieval. The current production version (v2) contains approximately 52.5 megabytes of data spanning from January 2020 to October 2025, comprising over 50,000 hourly observations with all engineered features. A versioning scheme based on creation date and feature hash ensures reproducibility and enables tracking of dataset evolution across model iterations. Accompanying metadata files in JSON format document the feature list, data date range, missing value statistics, and creation timestamp for each version of the master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