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b/>
          <w:sz w:val="26"/>
        </w:rPr>
        <w:t>2.3 Model Selection</w:t>
      </w:r>
    </w:p>
    <w:p>
      <w:pPr>
        <w:spacing w:line="360" w:lineRule="auto"/>
        <w:ind w:firstLine="720"/>
        <w:jc w:val="both"/>
      </w:pPr>
      <w:r>
        <w:rPr>
          <w:rFonts w:ascii="Times New Roman" w:hAnsi="Times New Roman"/>
          <w:b w:val="0"/>
          <w:i w:val="0"/>
          <w:sz w:val="24"/>
        </w:rPr>
        <w:t>A comprehensive evaluation of deep learning architectures was conducted to assess their suitability for electricity market forecasting in the Turkish context. A total of 90 experiments were performed across three state-of-the-art transformer-based models: Temporal Fusion Transformer (TFT), Neural Hierarchical Interpolation for Time Series (N-HITS), and PatchTST. These architectures were selected due to their documented success in various time series forecasting benchmarks and their ability to capture complex temporal dependencies. The experimental framework encompassed both price and consumption forecasting tasks, with hyperparameter optimization performed through systematic grid search across learning rates, hidden dimensions, attention heads, and dropout rates. The complete experimental suite required 1.67 hours of computation time on GPU-accelerated infrastructure.</w:t>
      </w:r>
    </w:p>
    <w:p>
      <w:pPr>
        <w:spacing w:line="360" w:lineRule="auto"/>
        <w:ind w:firstLine="720"/>
        <w:jc w:val="both"/>
      </w:pPr>
      <w:r>
        <w:rPr>
          <w:rFonts w:ascii="Times New Roman" w:hAnsi="Times New Roman"/>
          <w:b w:val="0"/>
          <w:i w:val="0"/>
          <w:sz w:val="24"/>
        </w:rPr>
        <w:t>The experimental results revealed significant performance variations across model architectures and forecasting targets. For electricity price forecasting, the N-HITS architecture achieved the best performance among deep learning models with a symmetric Mean Absolute Percentage Error (sMAPE) of 16.01% and a Mean Absolute Scaled Error (MASE) of 0.67. The TFT model followed closely with a sMAPE of 16.79%, while PatchTST exhibited the highest error at 17.17%. For consumption forecasting, the ranking differed notably, with TFT achieving the lowest sMAPE of 11.07%, followed by N-HITS at 12.22% and PatchTST at 12.40%. These results are summarized in Table 1, which presents the performance metrics for each deep learning architecture across both forecasting tasks.</w:t>
      </w:r>
    </w:p>
    <w:p>
      <w:pPr>
        <w:spacing w:after="120"/>
        <w:jc w:val="center"/>
      </w:pPr>
      <w:r>
        <w:rPr>
          <w:rFonts w:ascii="Times New Roman" w:hAnsi="Times New Roman"/>
          <w:b/>
          <w:sz w:val="20"/>
        </w:rPr>
        <w:t>Table 1. Deep Learning Model Performance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D9D9"/>
          </w:tcPr>
          <w:p>
            <w:pPr>
              <w:jc w:val="center"/>
            </w:pPr>
            <w:r>
              <w:rPr>
                <w:rFonts w:ascii="Times New Roman" w:hAnsi="Times New Roman"/>
                <w:b/>
                <w:sz w:val="20"/>
              </w:rPr>
              <w:t>Model</w:t>
            </w:r>
          </w:p>
        </w:tc>
        <w:tc>
          <w:tcPr>
            <w:tcW w:type="dxa" w:w="1728"/>
            <w:shd w:fill="D9D9D9"/>
          </w:tcPr>
          <w:p>
            <w:pPr>
              <w:jc w:val="center"/>
            </w:pPr>
            <w:r>
              <w:rPr>
                <w:rFonts w:ascii="Times New Roman" w:hAnsi="Times New Roman"/>
                <w:b/>
                <w:sz w:val="20"/>
              </w:rPr>
              <w:t>Price sMAPE</w:t>
            </w:r>
          </w:p>
        </w:tc>
        <w:tc>
          <w:tcPr>
            <w:tcW w:type="dxa" w:w="1728"/>
            <w:shd w:fill="D9D9D9"/>
          </w:tcPr>
          <w:p>
            <w:pPr>
              <w:jc w:val="center"/>
            </w:pPr>
            <w:r>
              <w:rPr>
                <w:rFonts w:ascii="Times New Roman" w:hAnsi="Times New Roman"/>
                <w:b/>
                <w:sz w:val="20"/>
              </w:rPr>
              <w:t>Consumption sMAPE</w:t>
            </w:r>
          </w:p>
        </w:tc>
        <w:tc>
          <w:tcPr>
            <w:tcW w:type="dxa" w:w="1728"/>
            <w:shd w:fill="D9D9D9"/>
          </w:tcPr>
          <w:p>
            <w:pPr>
              <w:jc w:val="center"/>
            </w:pPr>
            <w:r>
              <w:rPr>
                <w:rFonts w:ascii="Times New Roman" w:hAnsi="Times New Roman"/>
                <w:b/>
                <w:sz w:val="20"/>
              </w:rPr>
              <w:t>Price MASE</w:t>
            </w:r>
          </w:p>
        </w:tc>
        <w:tc>
          <w:tcPr>
            <w:tcW w:type="dxa" w:w="1728"/>
            <w:shd w:fill="D9D9D9"/>
          </w:tcPr>
          <w:p>
            <w:pPr>
              <w:jc w:val="center"/>
            </w:pPr>
            <w:r>
              <w:rPr>
                <w:rFonts w:ascii="Times New Roman" w:hAnsi="Times New Roman"/>
                <w:b/>
                <w:sz w:val="20"/>
              </w:rPr>
              <w:t>Consumption MASE</w:t>
            </w:r>
          </w:p>
        </w:tc>
      </w:tr>
      <w:tr>
        <w:tc>
          <w:tcPr>
            <w:tcW w:type="dxa" w:w="1728"/>
          </w:tcPr>
          <w:p>
            <w:pPr>
              <w:jc w:val="center"/>
            </w:pPr>
            <w:r>
              <w:rPr>
                <w:rFonts w:ascii="Times New Roman" w:hAnsi="Times New Roman"/>
                <w:sz w:val="20"/>
              </w:rPr>
              <w:t>N-HITS</w:t>
            </w:r>
          </w:p>
        </w:tc>
        <w:tc>
          <w:tcPr>
            <w:tcW w:type="dxa" w:w="1728"/>
          </w:tcPr>
          <w:p>
            <w:pPr>
              <w:jc w:val="center"/>
            </w:pPr>
            <w:r>
              <w:rPr>
                <w:rFonts w:ascii="Times New Roman" w:hAnsi="Times New Roman"/>
                <w:sz w:val="20"/>
              </w:rPr>
              <w:t>16.01%</w:t>
            </w:r>
          </w:p>
        </w:tc>
        <w:tc>
          <w:tcPr>
            <w:tcW w:type="dxa" w:w="1728"/>
          </w:tcPr>
          <w:p>
            <w:pPr>
              <w:jc w:val="center"/>
            </w:pPr>
            <w:r>
              <w:rPr>
                <w:rFonts w:ascii="Times New Roman" w:hAnsi="Times New Roman"/>
                <w:sz w:val="20"/>
              </w:rPr>
              <w:t>12.22%</w:t>
            </w:r>
          </w:p>
        </w:tc>
        <w:tc>
          <w:tcPr>
            <w:tcW w:type="dxa" w:w="1728"/>
          </w:tcPr>
          <w:p>
            <w:pPr>
              <w:jc w:val="center"/>
            </w:pPr>
            <w:r>
              <w:rPr>
                <w:rFonts w:ascii="Times New Roman" w:hAnsi="Times New Roman"/>
                <w:sz w:val="20"/>
              </w:rPr>
              <w:t>0.67</w:t>
            </w:r>
          </w:p>
        </w:tc>
        <w:tc>
          <w:tcPr>
            <w:tcW w:type="dxa" w:w="1728"/>
          </w:tcPr>
          <w:p>
            <w:pPr>
              <w:jc w:val="center"/>
            </w:pPr>
            <w:r>
              <w:rPr>
                <w:rFonts w:ascii="Times New Roman" w:hAnsi="Times New Roman"/>
                <w:sz w:val="20"/>
              </w:rPr>
              <w:t>2.59</w:t>
            </w:r>
          </w:p>
        </w:tc>
      </w:tr>
      <w:tr>
        <w:tc>
          <w:tcPr>
            <w:tcW w:type="dxa" w:w="1728"/>
          </w:tcPr>
          <w:p>
            <w:pPr>
              <w:jc w:val="center"/>
            </w:pPr>
            <w:r>
              <w:rPr>
                <w:rFonts w:ascii="Times New Roman" w:hAnsi="Times New Roman"/>
                <w:sz w:val="20"/>
              </w:rPr>
              <w:t>TFT</w:t>
            </w:r>
          </w:p>
        </w:tc>
        <w:tc>
          <w:tcPr>
            <w:tcW w:type="dxa" w:w="1728"/>
          </w:tcPr>
          <w:p>
            <w:pPr>
              <w:jc w:val="center"/>
            </w:pPr>
            <w:r>
              <w:rPr>
                <w:rFonts w:ascii="Times New Roman" w:hAnsi="Times New Roman"/>
                <w:sz w:val="20"/>
              </w:rPr>
              <w:t>16.79%</w:t>
            </w:r>
          </w:p>
        </w:tc>
        <w:tc>
          <w:tcPr>
            <w:tcW w:type="dxa" w:w="1728"/>
          </w:tcPr>
          <w:p>
            <w:pPr>
              <w:jc w:val="center"/>
            </w:pPr>
            <w:r>
              <w:rPr>
                <w:rFonts w:ascii="Times New Roman" w:hAnsi="Times New Roman"/>
                <w:sz w:val="20"/>
              </w:rPr>
              <w:t>11.07%</w:t>
            </w:r>
          </w:p>
        </w:tc>
        <w:tc>
          <w:tcPr>
            <w:tcW w:type="dxa" w:w="1728"/>
          </w:tcPr>
          <w:p>
            <w:pPr>
              <w:jc w:val="center"/>
            </w:pPr>
            <w:r>
              <w:rPr>
                <w:rFonts w:ascii="Times New Roman" w:hAnsi="Times New Roman"/>
                <w:sz w:val="20"/>
              </w:rPr>
              <w:t>0.69</w:t>
            </w:r>
          </w:p>
        </w:tc>
        <w:tc>
          <w:tcPr>
            <w:tcW w:type="dxa" w:w="1728"/>
          </w:tcPr>
          <w:p>
            <w:pPr>
              <w:jc w:val="center"/>
            </w:pPr>
            <w:r>
              <w:rPr>
                <w:rFonts w:ascii="Times New Roman" w:hAnsi="Times New Roman"/>
                <w:sz w:val="20"/>
              </w:rPr>
              <w:t>2.33</w:t>
            </w:r>
          </w:p>
        </w:tc>
      </w:tr>
      <w:tr>
        <w:tc>
          <w:tcPr>
            <w:tcW w:type="dxa" w:w="1728"/>
          </w:tcPr>
          <w:p>
            <w:pPr>
              <w:jc w:val="center"/>
            </w:pPr>
            <w:r>
              <w:rPr>
                <w:rFonts w:ascii="Times New Roman" w:hAnsi="Times New Roman"/>
                <w:sz w:val="20"/>
              </w:rPr>
              <w:t>PatchTST</w:t>
            </w:r>
          </w:p>
        </w:tc>
        <w:tc>
          <w:tcPr>
            <w:tcW w:type="dxa" w:w="1728"/>
          </w:tcPr>
          <w:p>
            <w:pPr>
              <w:jc w:val="center"/>
            </w:pPr>
            <w:r>
              <w:rPr>
                <w:rFonts w:ascii="Times New Roman" w:hAnsi="Times New Roman"/>
                <w:sz w:val="20"/>
              </w:rPr>
              <w:t>17.17%</w:t>
            </w:r>
          </w:p>
        </w:tc>
        <w:tc>
          <w:tcPr>
            <w:tcW w:type="dxa" w:w="1728"/>
          </w:tcPr>
          <w:p>
            <w:pPr>
              <w:jc w:val="center"/>
            </w:pPr>
            <w:r>
              <w:rPr>
                <w:rFonts w:ascii="Times New Roman" w:hAnsi="Times New Roman"/>
                <w:sz w:val="20"/>
              </w:rPr>
              <w:t>12.40%</w:t>
            </w:r>
          </w:p>
        </w:tc>
        <w:tc>
          <w:tcPr>
            <w:tcW w:type="dxa" w:w="1728"/>
          </w:tcPr>
          <w:p>
            <w:pPr>
              <w:jc w:val="center"/>
            </w:pPr>
            <w:r>
              <w:rPr>
                <w:rFonts w:ascii="Times New Roman" w:hAnsi="Times New Roman"/>
                <w:sz w:val="20"/>
              </w:rPr>
              <w:t>0.72</w:t>
            </w:r>
          </w:p>
        </w:tc>
        <w:tc>
          <w:tcPr>
            <w:tcW w:type="dxa" w:w="1728"/>
          </w:tcPr>
          <w:p>
            <w:pPr>
              <w:jc w:val="center"/>
            </w:pPr>
            <w:r>
              <w:rPr>
                <w:rFonts w:ascii="Times New Roman" w:hAnsi="Times New Roman"/>
                <w:sz w:val="20"/>
              </w:rPr>
              <w:t>2.63</w:t>
            </w:r>
          </w:p>
        </w:tc>
      </w:tr>
    </w:tbl>
    <w:p/>
    <w:p>
      <w:pPr>
        <w:spacing w:line="360" w:lineRule="auto"/>
        <w:ind w:firstLine="720"/>
        <w:jc w:val="both"/>
      </w:pPr>
      <w:r>
        <w:rPr>
          <w:rFonts w:ascii="Times New Roman" w:hAnsi="Times New Roman"/>
          <w:b w:val="0"/>
          <w:i w:val="0"/>
          <w:sz w:val="24"/>
        </w:rPr>
        <w:t>A critical examination of the MASE values revealed substantial evidence of overfitting in the consumption forecasting models. The MASE metric, which compares model performance against a naive seasonal baseline, indicated that all deep learning models performed significantly worse than this simple benchmark for consumption prediction. Specifically, MASE values exceeding 1.0 signify that the model fails to outperform a naive forecast that simply repeats the value from the previous seasonal period. With consumption MASE values ranging from 2.33 to 2.63 across all architectures, the deep learning models demonstrated performance degradation of 133% to 163% compared to the naive baseline. This pattern strongly suggests that the models memorized training data patterns rather than learning generalizable temporal relationships.</w:t>
      </w:r>
    </w:p>
    <w:p>
      <w:pPr>
        <w:spacing w:line="360" w:lineRule="auto"/>
        <w:ind w:firstLine="720"/>
        <w:jc w:val="both"/>
      </w:pPr>
      <w:r>
        <w:rPr>
          <w:rFonts w:ascii="Times New Roman" w:hAnsi="Times New Roman"/>
          <w:b w:val="0"/>
          <w:i w:val="0"/>
          <w:sz w:val="24"/>
        </w:rPr>
        <w:t>The observed overfitting behavior was attributed primarily to the limited volume of training data available for the Turkish electricity market. The dataset encompassed approximately four to five years of hourly observations, which, while substantial for traditional machine learning approaches, proved insufficient for the high-capacity deep learning architectures evaluated. Transformer-based models typically require extensive training corpora to effectively learn attention patterns and temporal dependencies without resorting to memorization. The significant gap between training and test performance metrics, particularly for consumption forecasting, confirmed that the models were unable to generalize beyond the training distribution. Furthermore, the relatively stable consumption patterns in the training period did not adequately prepare the models for the variability encountered in the test set.</w:t>
      </w:r>
    </w:p>
    <w:p>
      <w:pPr>
        <w:spacing w:line="360" w:lineRule="auto"/>
        <w:ind w:firstLine="720"/>
        <w:jc w:val="both"/>
      </w:pPr>
      <w:r>
        <w:rPr>
          <w:rFonts w:ascii="Times New Roman" w:hAnsi="Times New Roman"/>
          <w:b w:val="0"/>
          <w:i w:val="0"/>
          <w:sz w:val="24"/>
        </w:rPr>
        <w:t>Based on the comprehensive analysis of deep learning performance limitations, gradient boosting methods were selected as the primary modeling approach for the ForeWatt platform. The CatBoost algorithm was adopted for consumption forecasting, achieving a sMAPE of 1.95% on the test set, which represents a 5.7-fold improvement over the best deep learning result of 11.07% obtained by TFT. This dramatic performance enhancement demonstrated the superior ability of gradient boosting to extract predictive signals from limited training data while maintaining robust generalization to unseen periods. The ensemble nature of gradient boosting, which combines numerous weak learners through sequential optimization, provided an effective regularization mechanism that prevented the overfitting observed in deep learning approaches.</w:t>
      </w:r>
    </w:p>
    <w:p>
      <w:pPr>
        <w:spacing w:line="360" w:lineRule="auto"/>
        <w:ind w:firstLine="720"/>
        <w:jc w:val="both"/>
      </w:pPr>
      <w:r>
        <w:rPr>
          <w:rFonts w:ascii="Times New Roman" w:hAnsi="Times New Roman"/>
          <w:b w:val="0"/>
          <w:i w:val="0"/>
          <w:sz w:val="24"/>
        </w:rPr>
        <w:t>For price forecasting, a hybrid ensemble combining CatBoost and LightGBM was implemented, achieving a sMAPE of 11.71% compared to the N-HITS result of 16.01%, representing a 27% relative improvement. The hybrid architecture leveraged the complementary strengths of both gradient boosting frameworks, with CatBoost providing robust handling of categorical features and LightGBM contributing efficient leaf-wise tree growth. Beyond raw predictive accuracy, the gradient boosting approach offered several practical advantages critical for production deployment. Training time was reduced from hours to minutes, enabling rapid model iteration and retraining as new data became available. Inference latency decreased substantially, supporting the real-time forecasting requirements of the hourly prediction pipeline.</w:t>
      </w:r>
    </w:p>
    <w:p>
      <w:pPr>
        <w:spacing w:line="360" w:lineRule="auto"/>
        <w:ind w:firstLine="720"/>
        <w:jc w:val="both"/>
      </w:pPr>
      <w:r>
        <w:rPr>
          <w:rFonts w:ascii="Times New Roman" w:hAnsi="Times New Roman"/>
          <w:b w:val="0"/>
          <w:i w:val="0"/>
          <w:sz w:val="24"/>
        </w:rPr>
        <w:t>An additional consideration in the model selection decision was the interpretability of gradient boosting methods compared to deep learning architectures. The feature importance scores generated by CatBoost and LightGBM provided transparent insights into the factors driving price and consumption predictions, facilitating model validation by domain experts and enabling targeted feature engineering improvements. This interpretability was deemed essential for building trust with stakeholders in the Turkish electricity market and for diagnosing prediction errors in production. The combination of superior predictive performance, computational efficiency, and model interpretability established gradient boosting as the optimal approach for the ForeWatt forecasting platform, with deep learning architectures reserved for potential future investigation as training data volumes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