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sz w:val="26"/>
        </w:rPr>
        <w:t>2.4 Current Price and Consumption Models' Experiments and Results</w:t>
      </w:r>
    </w:p>
    <w:p>
      <w:pPr>
        <w:spacing w:line="360" w:lineRule="auto"/>
        <w:ind w:firstLine="720"/>
        <w:jc w:val="both"/>
      </w:pPr>
      <w:r>
        <w:rPr>
          <w:rFonts w:ascii="Times New Roman" w:hAnsi="Times New Roman"/>
          <w:b w:val="0"/>
          <w:i w:val="0"/>
          <w:sz w:val="24"/>
        </w:rPr>
        <w:t>This section presents the comprehensive experimental evaluation conducted to develop and optimize the ForeWatt forecasting models. A systematic approach was employed to investigate the impact of training data volume, feature engineering decisions, model architecture choices, and hyperparameter configurations on prediction accuracy. The experiments were conducted using a rigorous train-validation-test split methodology, with the test period spanning from June 2024 to October 2025, comprising 12,429 hours of unseen data. The symmetric Mean Absolute Percentage Error (sMAPE) was selected as the primary evaluation metric due to its bounded nature and stability when dealing with values approaching zero, which is particularly relevant for electricity price forecasting where near-zero prices occasionally occur.</w:t>
      </w:r>
    </w:p>
    <w:p>
      <w:pPr>
        <w:pStyle w:val="Heading3"/>
      </w:pPr>
      <w:r>
        <w:rPr>
          <w:rFonts w:ascii="Times New Roman" w:hAnsi="Times New Roman"/>
          <w:b/>
          <w:sz w:val="24"/>
        </w:rPr>
        <w:t>2.4.1 Consumption Model Experiments</w:t>
      </w:r>
    </w:p>
    <w:p>
      <w:pPr>
        <w:spacing w:line="360" w:lineRule="auto"/>
        <w:ind w:firstLine="720"/>
        <w:jc w:val="both"/>
      </w:pPr>
      <w:r>
        <w:rPr>
          <w:rFonts w:ascii="Times New Roman" w:hAnsi="Times New Roman"/>
          <w:b w:val="0"/>
          <w:i w:val="0"/>
          <w:sz w:val="24"/>
        </w:rPr>
        <w:t>The first experimental dimension investigated was the impact of training data volume on consumption prediction accuracy. Four configurations were evaluated, ranging from one year to four years of historical data. The results demonstrated a clear pattern of diminishing returns as additional training data was incorporated. Training with one year of data (2023) yielded a sMAPE of 2.27%, which improved to 2.16% with two years of data. The inclusion of a third year further reduced the error to 2.08%, while extending to four years of training data produced only a marginal improvement to 2.07%. This analysis revealed that consumption patterns in the Turkish electricity market are relatively stable over time, with three to four years of historical data providing sufficient coverage of seasonal variations without introducing excessive noise from outdated patterns.</w:t>
      </w:r>
    </w:p>
    <w:p>
      <w:pPr>
        <w:jc w:val="center"/>
      </w:pPr>
      <w:r>
        <w:drawing>
          <wp:inline xmlns:a="http://schemas.openxmlformats.org/drawingml/2006/main" xmlns:pic="http://schemas.openxmlformats.org/drawingml/2006/picture">
            <wp:extent cx="4572000" cy="3238134"/>
            <wp:docPr id="1" name="Picture 1"/>
            <wp:cNvGraphicFramePr>
              <a:graphicFrameLocks noChangeAspect="1"/>
            </wp:cNvGraphicFramePr>
            <a:graphic>
              <a:graphicData uri="http://schemas.openxmlformats.org/drawingml/2006/picture">
                <pic:pic>
                  <pic:nvPicPr>
                    <pic:cNvPr id="0" name="consumption_data_size_impact.png"/>
                    <pic:cNvPicPr/>
                  </pic:nvPicPr>
                  <pic:blipFill>
                    <a:blip r:embed="rId9"/>
                    <a:stretch>
                      <a:fillRect/>
                    </a:stretch>
                  </pic:blipFill>
                  <pic:spPr>
                    <a:xfrm>
                      <a:off x="0" y="0"/>
                      <a:ext cx="4572000" cy="3238134"/>
                    </a:xfrm>
                    <a:prstGeom prst="rect"/>
                  </pic:spPr>
                </pic:pic>
              </a:graphicData>
            </a:graphic>
          </wp:inline>
        </w:drawing>
      </w:r>
    </w:p>
    <w:p>
      <w:pPr>
        <w:spacing w:after="240"/>
        <w:jc w:val="center"/>
      </w:pPr>
      <w:r>
        <w:rPr>
          <w:rFonts w:ascii="Times New Roman" w:hAnsi="Times New Roman"/>
          <w:i/>
          <w:sz w:val="20"/>
        </w:rPr>
        <w:t>Figure 1. Impact of training data size on consumption model performance.</w:t>
      </w:r>
    </w:p>
    <w:p>
      <w:pPr>
        <w:spacing w:line="360" w:lineRule="auto"/>
        <w:ind w:firstLine="720"/>
        <w:jc w:val="both"/>
      </w:pPr>
      <w:r>
        <w:rPr>
          <w:rFonts w:ascii="Times New Roman" w:hAnsi="Times New Roman"/>
          <w:b w:val="0"/>
          <w:i w:val="0"/>
          <w:sz w:val="24"/>
        </w:rPr>
        <w:t>A feature ablation study was conducted to understand the contribution of each feature group to the overall prediction accuracy. The consumption model utilizes 23 features organized into three primary groups: lag-based features capturing historical consumption patterns, weather-related features encoding meteorological conditions, and calendar features representing temporal patterns. When evaluated in isolation, lag features alone achieved a sMAPE of 3.03%, demonstrating their fundamental importance in capturing the autoregressive nature of electricity consumption. Weather features alone proved insufficient, yielding a sMAPE of 12.95%, while calendar features alone achieved 10.61%. The most significant finding was that combining lag and calendar features produced the best performance at 1.96% sMAPE, outperforming the complete feature set (2.07%). This counterintuitive result suggests that weather information may already be implicitly encoded within the historical consumption patterns, and its explicit inclusion introduces additional noise that marginally degrades prediction accuracy.</w:t>
      </w:r>
    </w:p>
    <w:p>
      <w:pPr>
        <w:jc w:val="center"/>
      </w:pPr>
      <w:r>
        <w:drawing>
          <wp:inline xmlns:a="http://schemas.openxmlformats.org/drawingml/2006/main" xmlns:pic="http://schemas.openxmlformats.org/drawingml/2006/picture">
            <wp:extent cx="5029200" cy="4003731"/>
            <wp:docPr id="2" name="Picture 2"/>
            <wp:cNvGraphicFramePr>
              <a:graphicFrameLocks noChangeAspect="1"/>
            </wp:cNvGraphicFramePr>
            <a:graphic>
              <a:graphicData uri="http://schemas.openxmlformats.org/drawingml/2006/picture">
                <pic:pic>
                  <pic:nvPicPr>
                    <pic:cNvPr id="0" name="consumption_feature_importance.png"/>
                    <pic:cNvPicPr/>
                  </pic:nvPicPr>
                  <pic:blipFill>
                    <a:blip r:embed="rId10"/>
                    <a:stretch>
                      <a:fillRect/>
                    </a:stretch>
                  </pic:blipFill>
                  <pic:spPr>
                    <a:xfrm>
                      <a:off x="0" y="0"/>
                      <a:ext cx="5029200" cy="4003731"/>
                    </a:xfrm>
                    <a:prstGeom prst="rect"/>
                  </pic:spPr>
                </pic:pic>
              </a:graphicData>
            </a:graphic>
          </wp:inline>
        </w:drawing>
      </w:r>
    </w:p>
    <w:p>
      <w:pPr>
        <w:spacing w:after="240"/>
        <w:jc w:val="center"/>
      </w:pPr>
      <w:r>
        <w:rPr>
          <w:rFonts w:ascii="Times New Roman" w:hAnsi="Times New Roman"/>
          <w:i/>
          <w:sz w:val="20"/>
        </w:rPr>
        <w:t>Figure 2. Feature importance ranking for the consumption forecasting model.</w:t>
      </w:r>
    </w:p>
    <w:p>
      <w:pPr>
        <w:spacing w:line="360" w:lineRule="auto"/>
        <w:ind w:firstLine="720"/>
        <w:jc w:val="both"/>
      </w:pPr>
      <w:r>
        <w:rPr>
          <w:rFonts w:ascii="Times New Roman" w:hAnsi="Times New Roman"/>
          <w:b w:val="0"/>
          <w:i w:val="0"/>
          <w:sz w:val="24"/>
        </w:rPr>
        <w:t>Hyperparameter optimization was performed on the CatBoost model to identify the optimal configuration. The baseline model employed a learning rate of 0.03, tree depth of 5, and 1,000 iterations. Various configurations were systematically evaluated, including adjustments to tree depth (3, 5, and 8), learning rate (0.01, 0.03, and 0.10), number of iterations (1,000 and 2,000), and regularization parameters. The experiments revealed that a higher learning rate of 0.10 achieved the best performance, reducing sMAPE from 2.07% to 1.95%. Deeper trees (depth 8) provided slight improvements but at the cost of increased computational complexity, while shallower trees (depth 3) exhibited underfitting with a sMAPE of 2.33%. The final optimized consumption model achieved a sMAPE of 1.95%, corresponding to a Mean Absolute Error (MAE) of 808.5 MWh and an R-squared value of 0.969, indicating that the model explains 96.9% of the variance in actual consumption values.</w:t>
      </w:r>
    </w:p>
    <w:p>
      <w:pPr>
        <w:jc w:val="center"/>
      </w:pPr>
      <w:r>
        <w:drawing>
          <wp:inline xmlns:a="http://schemas.openxmlformats.org/drawingml/2006/main" xmlns:pic="http://schemas.openxmlformats.org/drawingml/2006/picture">
            <wp:extent cx="5029200" cy="3581254"/>
            <wp:docPr id="3" name="Picture 3"/>
            <wp:cNvGraphicFramePr>
              <a:graphicFrameLocks noChangeAspect="1"/>
            </wp:cNvGraphicFramePr>
            <a:graphic>
              <a:graphicData uri="http://schemas.openxmlformats.org/drawingml/2006/picture">
                <pic:pic>
                  <pic:nvPicPr>
                    <pic:cNvPr id="0" name="consumption_predictions_vs_actual.png"/>
                    <pic:cNvPicPr/>
                  </pic:nvPicPr>
                  <pic:blipFill>
                    <a:blip r:embed="rId11"/>
                    <a:stretch>
                      <a:fillRect/>
                    </a:stretch>
                  </pic:blipFill>
                  <pic:spPr>
                    <a:xfrm>
                      <a:off x="0" y="0"/>
                      <a:ext cx="5029200" cy="3581254"/>
                    </a:xfrm>
                    <a:prstGeom prst="rect"/>
                  </pic:spPr>
                </pic:pic>
              </a:graphicData>
            </a:graphic>
          </wp:inline>
        </w:drawing>
      </w:r>
    </w:p>
    <w:p>
      <w:pPr>
        <w:spacing w:after="240"/>
        <w:jc w:val="center"/>
      </w:pPr>
      <w:r>
        <w:rPr>
          <w:rFonts w:ascii="Times New Roman" w:hAnsi="Times New Roman"/>
          <w:i/>
          <w:sz w:val="20"/>
        </w:rPr>
        <w:t>Figure 3. Consumption model predictions versus actual values over the test period.</w:t>
      </w:r>
    </w:p>
    <w:p>
      <w:pPr>
        <w:pStyle w:val="Heading3"/>
      </w:pPr>
      <w:r>
        <w:rPr>
          <w:rFonts w:ascii="Times New Roman" w:hAnsi="Times New Roman"/>
          <w:b/>
          <w:sz w:val="24"/>
        </w:rPr>
        <w:t>2.4.2 Price Model Experiments</w:t>
      </w:r>
    </w:p>
    <w:p>
      <w:pPr>
        <w:spacing w:line="360" w:lineRule="auto"/>
        <w:ind w:firstLine="720"/>
        <w:jc w:val="both"/>
      </w:pPr>
      <w:r>
        <w:rPr>
          <w:rFonts w:ascii="Times New Roman" w:hAnsi="Times New Roman"/>
          <w:b w:val="0"/>
          <w:i w:val="0"/>
          <w:sz w:val="24"/>
        </w:rPr>
        <w:t>The price model exhibited different characteristics regarding training data requirements compared to the consumption model. Unlike consumption patterns, which demonstrated diminishing returns after three years, price prediction continued to benefit from additional historical data across all tested configurations. Training with one year of data produced a sMAPE of 12.34%, which unexpectedly increased slightly to 12.43% with two years, suggesting that the two-year period may have captured an anomalous market regime. However, extending to three years reduced the error to 11.82%, and the full four-year dataset achieved the best performance at 11.71% sMAPE. This finding indicates that electricity prices in the Turkish market exhibit longer-term dependencies and regime changes that require extended historical context to model effectively.</w:t>
      </w:r>
    </w:p>
    <w:p>
      <w:pPr>
        <w:spacing w:line="360" w:lineRule="auto"/>
        <w:ind w:firstLine="720"/>
        <w:jc w:val="both"/>
      </w:pPr>
      <w:r>
        <w:rPr>
          <w:rFonts w:ascii="Times New Roman" w:hAnsi="Times New Roman"/>
          <w:b w:val="0"/>
          <w:i w:val="0"/>
          <w:sz w:val="24"/>
        </w:rPr>
        <w:t>A comprehensive evaluation of model architectures was conducted to determine the optimal approach for price forecasting. Three configurations were compared: CatBoost alone, LightGBM alone, and an ensemble combining both algorithms. CatBoost achieved a sMAPE of 11.94%, demonstrating its strength as a single model, while LightGBM produced a sMAPE of 12.46% with significantly faster training times. The ensemble approach, which combines predictions from both models using optimized weights of 61.4% CatBoost and 38.6% LightGBM, achieved the best performance at 11.71% sMAPE. The ensemble's superiority can be attributed to the complementary error patterns of the two algorithms, with each model capturing different aspects of the price dynamics, thereby reducing the overall prediction variance when combined.</w:t>
      </w:r>
    </w:p>
    <w:p>
      <w:pPr>
        <w:jc w:val="center"/>
      </w:pPr>
      <w:r>
        <w:drawing>
          <wp:inline xmlns:a="http://schemas.openxmlformats.org/drawingml/2006/main" xmlns:pic="http://schemas.openxmlformats.org/drawingml/2006/picture">
            <wp:extent cx="4572000" cy="2738887"/>
            <wp:docPr id="4" name="Picture 4"/>
            <wp:cNvGraphicFramePr>
              <a:graphicFrameLocks noChangeAspect="1"/>
            </wp:cNvGraphicFramePr>
            <a:graphic>
              <a:graphicData uri="http://schemas.openxmlformats.org/drawingml/2006/picture">
                <pic:pic>
                  <pic:nvPicPr>
                    <pic:cNvPr id="0" name="price_model_comparison.png"/>
                    <pic:cNvPicPr/>
                  </pic:nvPicPr>
                  <pic:blipFill>
                    <a:blip r:embed="rId12"/>
                    <a:stretch>
                      <a:fillRect/>
                    </a:stretch>
                  </pic:blipFill>
                  <pic:spPr>
                    <a:xfrm>
                      <a:off x="0" y="0"/>
                      <a:ext cx="4572000" cy="2738887"/>
                    </a:xfrm>
                    <a:prstGeom prst="rect"/>
                  </pic:spPr>
                </pic:pic>
              </a:graphicData>
            </a:graphic>
          </wp:inline>
        </w:drawing>
      </w:r>
    </w:p>
    <w:p>
      <w:pPr>
        <w:spacing w:after="240"/>
        <w:jc w:val="center"/>
      </w:pPr>
      <w:r>
        <w:rPr>
          <w:rFonts w:ascii="Times New Roman" w:hAnsi="Times New Roman"/>
          <w:i/>
          <w:sz w:val="20"/>
        </w:rPr>
        <w:t>Figure 4. Comparison of price model architectures: CatBoost, LightGBM, and Ensemble.</w:t>
      </w:r>
    </w:p>
    <w:p>
      <w:pPr>
        <w:spacing w:line="360" w:lineRule="auto"/>
        <w:ind w:firstLine="720"/>
        <w:jc w:val="both"/>
      </w:pPr>
      <w:r>
        <w:rPr>
          <w:rFonts w:ascii="Times New Roman" w:hAnsi="Times New Roman"/>
          <w:b w:val="0"/>
          <w:i w:val="0"/>
          <w:sz w:val="24"/>
        </w:rPr>
        <w:t>A novel error correction framework was developed and evaluated to address systematic prediction biases in the price model. Four configurations were compared: raw ensemble predictions without correction, Simple Adaptive Error Correction (AEC) that learns systematic biases from validation errors, K-Nearest Neighbors Error Correction (KNN-EC) that leverages similar historical contexts to estimate expected errors, and a hybrid approach combining both methods with equal weighting. The raw ensemble achieved a sMAPE of 12.58%, which was reduced to 11.95% with Simple AEC and 11.94% with KNN-EC. The hybrid approach, combining 50% Simple AEC and 50% KNN-EC corrections, achieved the best performance at 11.71% sMAPE, representing a 6.9% relative improvement over the uncorrected predictions. This hybrid methodology was designated as CHybrid V14 and was selected as the final production model.</w:t>
      </w:r>
    </w:p>
    <w:p>
      <w:pPr>
        <w:jc w:val="center"/>
      </w:pPr>
      <w:r>
        <w:drawing>
          <wp:inline xmlns:a="http://schemas.openxmlformats.org/drawingml/2006/main" xmlns:pic="http://schemas.openxmlformats.org/drawingml/2006/picture">
            <wp:extent cx="5029200" cy="4152233"/>
            <wp:docPr id="5" name="Picture 5"/>
            <wp:cNvGraphicFramePr>
              <a:graphicFrameLocks noChangeAspect="1"/>
            </wp:cNvGraphicFramePr>
            <a:graphic>
              <a:graphicData uri="http://schemas.openxmlformats.org/drawingml/2006/picture">
                <pic:pic>
                  <pic:nvPicPr>
                    <pic:cNvPr id="0" name="04_chybrid_error_correction_architecture.jpg"/>
                    <pic:cNvPicPr/>
                  </pic:nvPicPr>
                  <pic:blipFill>
                    <a:blip r:embed="rId13"/>
                    <a:stretch>
                      <a:fillRect/>
                    </a:stretch>
                  </pic:blipFill>
                  <pic:spPr>
                    <a:xfrm>
                      <a:off x="0" y="0"/>
                      <a:ext cx="5029200" cy="4152233"/>
                    </a:xfrm>
                    <a:prstGeom prst="rect"/>
                  </pic:spPr>
                </pic:pic>
              </a:graphicData>
            </a:graphic>
          </wp:inline>
        </w:drawing>
      </w:r>
    </w:p>
    <w:p>
      <w:pPr>
        <w:spacing w:after="240"/>
        <w:jc w:val="center"/>
      </w:pPr>
      <w:r>
        <w:rPr>
          <w:rFonts w:ascii="Times New Roman" w:hAnsi="Times New Roman"/>
          <w:i/>
          <w:sz w:val="20"/>
        </w:rPr>
        <w:t>Figure 5. CHybrid error correction architecture combining Simple AEC and KNN-EC methods.</w:t>
      </w:r>
    </w:p>
    <w:p>
      <w:pPr>
        <w:jc w:val="center"/>
      </w:pPr>
      <w:r>
        <w:drawing>
          <wp:inline xmlns:a="http://schemas.openxmlformats.org/drawingml/2006/main" xmlns:pic="http://schemas.openxmlformats.org/drawingml/2006/picture">
            <wp:extent cx="5029200" cy="4006427"/>
            <wp:docPr id="6" name="Picture 6"/>
            <wp:cNvGraphicFramePr>
              <a:graphicFrameLocks noChangeAspect="1"/>
            </wp:cNvGraphicFramePr>
            <a:graphic>
              <a:graphicData uri="http://schemas.openxmlformats.org/drawingml/2006/picture">
                <pic:pic>
                  <pic:nvPicPr>
                    <pic:cNvPr id="0" name="price_feature_importance.png"/>
                    <pic:cNvPicPr/>
                  </pic:nvPicPr>
                  <pic:blipFill>
                    <a:blip r:embed="rId14"/>
                    <a:stretch>
                      <a:fillRect/>
                    </a:stretch>
                  </pic:blipFill>
                  <pic:spPr>
                    <a:xfrm>
                      <a:off x="0" y="0"/>
                      <a:ext cx="5029200" cy="4006427"/>
                    </a:xfrm>
                    <a:prstGeom prst="rect"/>
                  </pic:spPr>
                </pic:pic>
              </a:graphicData>
            </a:graphic>
          </wp:inline>
        </w:drawing>
      </w:r>
    </w:p>
    <w:p>
      <w:pPr>
        <w:spacing w:after="240"/>
        <w:jc w:val="center"/>
      </w:pPr>
      <w:r>
        <w:rPr>
          <w:rFonts w:ascii="Times New Roman" w:hAnsi="Times New Roman"/>
          <w:i/>
          <w:sz w:val="20"/>
        </w:rPr>
        <w:t>Figure 6. Feature importance ranking for the price forecasting model.</w:t>
      </w:r>
    </w:p>
    <w:p>
      <w:pPr>
        <w:spacing w:line="360" w:lineRule="auto"/>
        <w:ind w:firstLine="720"/>
        <w:jc w:val="both"/>
      </w:pPr>
      <w:r>
        <w:rPr>
          <w:rFonts w:ascii="Times New Roman" w:hAnsi="Times New Roman"/>
          <w:b w:val="0"/>
          <w:i w:val="0"/>
          <w:sz w:val="24"/>
        </w:rPr>
        <w:t>Unlike the consumption model where weather features degraded performance, the price model benefited from all 33 features in its feature set. Feature ablation revealed that price lag features alone achieved a sMAPE of 13.51%, while market signal features alone performed better at 12.84%, indicating the high predictive value of features such as thermal gap, renewable saturation, and spark spread proxy. Calendar features contributed a sMAPE of 13.00% when used in isolation. Combining price lags with market signals improved performance to 12.13%, and the complete feature set achieved the best result at 11.71%. These findings highlight the importance of incorporating domain-specific market fundamentals for electricity price forecasting.</w:t>
      </w:r>
    </w:p>
    <w:p>
      <w:pPr>
        <w:jc w:val="center"/>
      </w:pPr>
      <w:r>
        <w:drawing>
          <wp:inline xmlns:a="http://schemas.openxmlformats.org/drawingml/2006/main" xmlns:pic="http://schemas.openxmlformats.org/drawingml/2006/picture">
            <wp:extent cx="5029200" cy="3581254"/>
            <wp:docPr id="7" name="Picture 7"/>
            <wp:cNvGraphicFramePr>
              <a:graphicFrameLocks noChangeAspect="1"/>
            </wp:cNvGraphicFramePr>
            <a:graphic>
              <a:graphicData uri="http://schemas.openxmlformats.org/drawingml/2006/picture">
                <pic:pic>
                  <pic:nvPicPr>
                    <pic:cNvPr id="0" name="price_predictions_vs_actual.png"/>
                    <pic:cNvPicPr/>
                  </pic:nvPicPr>
                  <pic:blipFill>
                    <a:blip r:embed="rId15"/>
                    <a:stretch>
                      <a:fillRect/>
                    </a:stretch>
                  </pic:blipFill>
                  <pic:spPr>
                    <a:xfrm>
                      <a:off x="0" y="0"/>
                      <a:ext cx="5029200" cy="3581254"/>
                    </a:xfrm>
                    <a:prstGeom prst="rect"/>
                  </pic:spPr>
                </pic:pic>
              </a:graphicData>
            </a:graphic>
          </wp:inline>
        </w:drawing>
      </w:r>
    </w:p>
    <w:p>
      <w:pPr>
        <w:spacing w:after="240"/>
        <w:jc w:val="center"/>
      </w:pPr>
      <w:r>
        <w:rPr>
          <w:rFonts w:ascii="Times New Roman" w:hAnsi="Times New Roman"/>
          <w:i/>
          <w:sz w:val="20"/>
        </w:rPr>
        <w:t>Figure 7. Price model predictions versus actual values over the test period.</w:t>
      </w:r>
    </w:p>
    <w:p>
      <w:pPr>
        <w:pStyle w:val="Heading3"/>
      </w:pPr>
      <w:r>
        <w:rPr>
          <w:rFonts w:ascii="Times New Roman" w:hAnsi="Times New Roman"/>
          <w:b/>
          <w:sz w:val="24"/>
        </w:rPr>
        <w:t>2.4.3 Baseline Comparisons</w:t>
      </w:r>
    </w:p>
    <w:p>
      <w:pPr>
        <w:spacing w:line="360" w:lineRule="auto"/>
        <w:ind w:firstLine="720"/>
        <w:jc w:val="both"/>
      </w:pPr>
      <w:r>
        <w:rPr>
          <w:rFonts w:ascii="Times New Roman" w:hAnsi="Times New Roman"/>
          <w:b w:val="0"/>
          <w:i w:val="0"/>
          <w:sz w:val="24"/>
        </w:rPr>
        <w:t>To establish the value of the machine learning approach, both models were compared against standard baseline methods commonly employed in time series forecasting. For consumption prediction, the naive baseline using the previous day's value at the same hour (Lag-24h) achieved a sMAPE of 5.69%, while the seasonal naive baseline using the previous week's value (Lag-168h) achieved 5.48%. Rolling mean and hourly mean baselines performed significantly worse at 15.22% and 13.37% respectively. The optimized consumption model at 1.95% sMAPE represents a 2.8-fold improvement over the best baseline. For price prediction, the naive baseline achieved 21.96% sMAPE and the seasonal naive achieved 21.60%, while rolling mean and hourly mean baselines yielded 25.38% and 42.16% respectively. The price model at 11.71% sMAPE represents a 1.8-fold improvement over the seasonal naive baseline. These results demonstrate the substantial value of the machine learning approach for both consumption and price forecasting in the Turkish electricity market.</w:t>
      </w:r>
    </w:p>
    <w:p>
      <w:pPr>
        <w:spacing w:after="120"/>
        <w:jc w:val="center"/>
      </w:pPr>
      <w:r>
        <w:rPr>
          <w:rFonts w:ascii="Times New Roman" w:hAnsi="Times New Roman"/>
          <w:b/>
          <w:sz w:val="20"/>
        </w:rPr>
        <w:t>Table 1. Baseline comparison for consumption and price models.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D9D9"/>
          </w:tcPr>
          <w:p>
            <w:pPr>
              <w:jc w:val="center"/>
            </w:pPr>
            <w:r>
              <w:rPr>
                <w:rFonts w:ascii="Times New Roman" w:hAnsi="Times New Roman"/>
                <w:b/>
                <w:sz w:val="20"/>
              </w:rPr>
              <w:t>Method</w:t>
            </w:r>
          </w:p>
        </w:tc>
        <w:tc>
          <w:tcPr>
            <w:tcW w:type="dxa" w:w="2160"/>
            <w:shd w:fill="D9D9D9"/>
          </w:tcPr>
          <w:p>
            <w:pPr>
              <w:jc w:val="center"/>
            </w:pPr>
            <w:r>
              <w:rPr>
                <w:rFonts w:ascii="Times New Roman" w:hAnsi="Times New Roman"/>
                <w:b/>
                <w:sz w:val="20"/>
              </w:rPr>
              <w:t>Consumption sMAPE</w:t>
            </w:r>
          </w:p>
        </w:tc>
        <w:tc>
          <w:tcPr>
            <w:tcW w:type="dxa" w:w="2160"/>
            <w:shd w:fill="D9D9D9"/>
          </w:tcPr>
          <w:p>
            <w:pPr>
              <w:jc w:val="center"/>
            </w:pPr>
            <w:r>
              <w:rPr>
                <w:rFonts w:ascii="Times New Roman" w:hAnsi="Times New Roman"/>
                <w:b/>
                <w:sz w:val="20"/>
              </w:rPr>
              <w:t>Price sMAPE</w:t>
            </w:r>
          </w:p>
        </w:tc>
        <w:tc>
          <w:tcPr>
            <w:tcW w:type="dxa" w:w="2160"/>
            <w:shd w:fill="D9D9D9"/>
          </w:tcPr>
          <w:p>
            <w:pPr>
              <w:jc w:val="center"/>
            </w:pPr>
            <w:r>
              <w:rPr>
                <w:rFonts w:ascii="Times New Roman" w:hAnsi="Times New Roman"/>
                <w:b/>
                <w:sz w:val="20"/>
              </w:rPr>
              <w:t>Improvement Factor</w:t>
            </w:r>
          </w:p>
        </w:tc>
      </w:tr>
      <w:tr>
        <w:tc>
          <w:tcPr>
            <w:tcW w:type="dxa" w:w="2160"/>
          </w:tcPr>
          <w:p>
            <w:pPr>
              <w:jc w:val="center"/>
            </w:pPr>
            <w:r>
              <w:rPr>
                <w:rFonts w:ascii="Times New Roman" w:hAnsi="Times New Roman"/>
                <w:sz w:val="20"/>
              </w:rPr>
              <w:t>Naive (Lag-24h)</w:t>
            </w:r>
          </w:p>
        </w:tc>
        <w:tc>
          <w:tcPr>
            <w:tcW w:type="dxa" w:w="2160"/>
          </w:tcPr>
          <w:p>
            <w:pPr>
              <w:jc w:val="center"/>
            </w:pPr>
            <w:r>
              <w:rPr>
                <w:rFonts w:ascii="Times New Roman" w:hAnsi="Times New Roman"/>
                <w:sz w:val="20"/>
              </w:rPr>
              <w:t>5.69%</w:t>
            </w:r>
          </w:p>
        </w:tc>
        <w:tc>
          <w:tcPr>
            <w:tcW w:type="dxa" w:w="2160"/>
          </w:tcPr>
          <w:p>
            <w:pPr>
              <w:jc w:val="center"/>
            </w:pPr>
            <w:r>
              <w:rPr>
                <w:rFonts w:ascii="Times New Roman" w:hAnsi="Times New Roman"/>
                <w:sz w:val="20"/>
              </w:rPr>
              <w:t>21.96%</w:t>
            </w:r>
          </w:p>
        </w:tc>
        <w:tc>
          <w:tcPr>
            <w:tcW w:type="dxa" w:w="2160"/>
          </w:tcPr>
          <w:p>
            <w:pPr>
              <w:jc w:val="center"/>
            </w:pPr>
            <w:r>
              <w:rPr>
                <w:rFonts w:ascii="Times New Roman" w:hAnsi="Times New Roman"/>
                <w:sz w:val="20"/>
              </w:rPr>
              <w:t>Baseline</w:t>
            </w:r>
          </w:p>
        </w:tc>
      </w:tr>
      <w:tr>
        <w:tc>
          <w:tcPr>
            <w:tcW w:type="dxa" w:w="2160"/>
          </w:tcPr>
          <w:p>
            <w:pPr>
              <w:jc w:val="center"/>
            </w:pPr>
            <w:r>
              <w:rPr>
                <w:rFonts w:ascii="Times New Roman" w:hAnsi="Times New Roman"/>
                <w:sz w:val="20"/>
              </w:rPr>
              <w:t>Seasonal Naive (Lag-168h)</w:t>
            </w:r>
          </w:p>
        </w:tc>
        <w:tc>
          <w:tcPr>
            <w:tcW w:type="dxa" w:w="2160"/>
          </w:tcPr>
          <w:p>
            <w:pPr>
              <w:jc w:val="center"/>
            </w:pPr>
            <w:r>
              <w:rPr>
                <w:rFonts w:ascii="Times New Roman" w:hAnsi="Times New Roman"/>
                <w:sz w:val="20"/>
              </w:rPr>
              <w:t>5.48%</w:t>
            </w:r>
          </w:p>
        </w:tc>
        <w:tc>
          <w:tcPr>
            <w:tcW w:type="dxa" w:w="2160"/>
          </w:tcPr>
          <w:p>
            <w:pPr>
              <w:jc w:val="center"/>
            </w:pPr>
            <w:r>
              <w:rPr>
                <w:rFonts w:ascii="Times New Roman" w:hAnsi="Times New Roman"/>
                <w:sz w:val="20"/>
              </w:rPr>
              <w:t>21.60%</w:t>
            </w:r>
          </w:p>
        </w:tc>
        <w:tc>
          <w:tcPr>
            <w:tcW w:type="dxa" w:w="2160"/>
          </w:tcPr>
          <w:p>
            <w:pPr>
              <w:jc w:val="center"/>
            </w:pPr>
            <w:r>
              <w:rPr>
                <w:rFonts w:ascii="Times New Roman" w:hAnsi="Times New Roman"/>
                <w:sz w:val="20"/>
              </w:rPr>
              <w:t>Baseline</w:t>
            </w:r>
          </w:p>
        </w:tc>
      </w:tr>
      <w:tr>
        <w:tc>
          <w:tcPr>
            <w:tcW w:type="dxa" w:w="2160"/>
          </w:tcPr>
          <w:p>
            <w:pPr>
              <w:jc w:val="center"/>
            </w:pPr>
            <w:r>
              <w:rPr>
                <w:rFonts w:ascii="Times New Roman" w:hAnsi="Times New Roman"/>
                <w:sz w:val="20"/>
              </w:rPr>
              <w:t>Rolling Mean (24h)</w:t>
            </w:r>
          </w:p>
        </w:tc>
        <w:tc>
          <w:tcPr>
            <w:tcW w:type="dxa" w:w="2160"/>
          </w:tcPr>
          <w:p>
            <w:pPr>
              <w:jc w:val="center"/>
            </w:pPr>
            <w:r>
              <w:rPr>
                <w:rFonts w:ascii="Times New Roman" w:hAnsi="Times New Roman"/>
                <w:sz w:val="20"/>
              </w:rPr>
              <w:t>15.22%</w:t>
            </w:r>
          </w:p>
        </w:tc>
        <w:tc>
          <w:tcPr>
            <w:tcW w:type="dxa" w:w="2160"/>
          </w:tcPr>
          <w:p>
            <w:pPr>
              <w:jc w:val="center"/>
            </w:pPr>
            <w:r>
              <w:rPr>
                <w:rFonts w:ascii="Times New Roman" w:hAnsi="Times New Roman"/>
                <w:sz w:val="20"/>
              </w:rPr>
              <w:t>25.38%</w:t>
            </w:r>
          </w:p>
        </w:tc>
        <w:tc>
          <w:tcPr>
            <w:tcW w:type="dxa" w:w="2160"/>
          </w:tcPr>
          <w:p>
            <w:pPr>
              <w:jc w:val="center"/>
            </w:pPr>
            <w:r>
              <w:rPr>
                <w:rFonts w:ascii="Times New Roman" w:hAnsi="Times New Roman"/>
                <w:sz w:val="20"/>
              </w:rPr>
              <w:t>-</w:t>
            </w:r>
          </w:p>
        </w:tc>
      </w:tr>
      <w:tr>
        <w:tc>
          <w:tcPr>
            <w:tcW w:type="dxa" w:w="2160"/>
          </w:tcPr>
          <w:p>
            <w:pPr>
              <w:jc w:val="center"/>
            </w:pPr>
            <w:r>
              <w:rPr>
                <w:rFonts w:ascii="Times New Roman" w:hAnsi="Times New Roman"/>
                <w:sz w:val="20"/>
              </w:rPr>
              <w:t>Hourly Mean</w:t>
            </w:r>
          </w:p>
        </w:tc>
        <w:tc>
          <w:tcPr>
            <w:tcW w:type="dxa" w:w="2160"/>
          </w:tcPr>
          <w:p>
            <w:pPr>
              <w:jc w:val="center"/>
            </w:pPr>
            <w:r>
              <w:rPr>
                <w:rFonts w:ascii="Times New Roman" w:hAnsi="Times New Roman"/>
                <w:sz w:val="20"/>
              </w:rPr>
              <w:t>13.37%</w:t>
            </w:r>
          </w:p>
        </w:tc>
        <w:tc>
          <w:tcPr>
            <w:tcW w:type="dxa" w:w="2160"/>
          </w:tcPr>
          <w:p>
            <w:pPr>
              <w:jc w:val="center"/>
            </w:pPr>
            <w:r>
              <w:rPr>
                <w:rFonts w:ascii="Times New Roman" w:hAnsi="Times New Roman"/>
                <w:sz w:val="20"/>
              </w:rPr>
              <w:t>42.16%</w:t>
            </w:r>
          </w:p>
        </w:tc>
        <w:tc>
          <w:tcPr>
            <w:tcW w:type="dxa" w:w="2160"/>
          </w:tcPr>
          <w:p>
            <w:pPr>
              <w:jc w:val="center"/>
            </w:pPr>
            <w:r>
              <w:rPr>
                <w:rFonts w:ascii="Times New Roman" w:hAnsi="Times New Roman"/>
                <w:sz w:val="20"/>
              </w:rPr>
              <w:t>-</w:t>
            </w:r>
          </w:p>
        </w:tc>
      </w:tr>
      <w:tr>
        <w:tc>
          <w:tcPr>
            <w:tcW w:type="dxa" w:w="2160"/>
          </w:tcPr>
          <w:p>
            <w:pPr>
              <w:jc w:val="center"/>
            </w:pPr>
            <w:r>
              <w:rPr>
                <w:rFonts w:ascii="Times New Roman" w:hAnsi="Times New Roman"/>
                <w:sz w:val="20"/>
              </w:rPr>
              <w:t>Our ML Model</w:t>
            </w:r>
          </w:p>
        </w:tc>
        <w:tc>
          <w:tcPr>
            <w:tcW w:type="dxa" w:w="2160"/>
          </w:tcPr>
          <w:p>
            <w:pPr>
              <w:jc w:val="center"/>
            </w:pPr>
            <w:r>
              <w:rPr>
                <w:rFonts w:ascii="Times New Roman" w:hAnsi="Times New Roman"/>
                <w:sz w:val="20"/>
              </w:rPr>
              <w:t>1.95%</w:t>
            </w:r>
          </w:p>
        </w:tc>
        <w:tc>
          <w:tcPr>
            <w:tcW w:type="dxa" w:w="2160"/>
          </w:tcPr>
          <w:p>
            <w:pPr>
              <w:jc w:val="center"/>
            </w:pPr>
            <w:r>
              <w:rPr>
                <w:rFonts w:ascii="Times New Roman" w:hAnsi="Times New Roman"/>
                <w:sz w:val="20"/>
              </w:rPr>
              <w:t>11.71%</w:t>
            </w:r>
          </w:p>
        </w:tc>
        <w:tc>
          <w:tcPr>
            <w:tcW w:type="dxa" w:w="2160"/>
          </w:tcPr>
          <w:p>
            <w:pPr>
              <w:jc w:val="center"/>
            </w:pPr>
            <w:r>
              <w:rPr>
                <w:rFonts w:ascii="Times New Roman" w:hAnsi="Times New Roman"/>
                <w:sz w:val="20"/>
              </w:rPr>
              <w:t>2.8x / 1.8x</w:t>
            </w:r>
          </w:p>
        </w:tc>
      </w:tr>
    </w:tbl>
    <w:p/>
    <w:p>
      <w:pPr>
        <w:pStyle w:val="Heading3"/>
      </w:pPr>
      <w:r>
        <w:rPr>
          <w:rFonts w:ascii="Times New Roman" w:hAnsi="Times New Roman"/>
          <w:b/>
          <w:sz w:val="24"/>
        </w:rPr>
        <w:t>2.4.4 Final Model Performance</w:t>
      </w:r>
    </w:p>
    <w:p>
      <w:pPr>
        <w:spacing w:line="360" w:lineRule="auto"/>
        <w:ind w:firstLine="720"/>
        <w:jc w:val="both"/>
      </w:pPr>
      <w:r>
        <w:rPr>
          <w:rFonts w:ascii="Times New Roman" w:hAnsi="Times New Roman"/>
          <w:b w:val="0"/>
          <w:i w:val="0"/>
          <w:sz w:val="24"/>
        </w:rPr>
        <w:t>The final optimized models demonstrate excellent performance across all evaluation metrics. The consumption model achieves a test sMAPE of 1.95%, a MAE of 808.5 MWh, and an R-squared of 0.969, indicating highly accurate predictions with 96.9% of variance explained. The error distribution analysis reveals that 50% of predictions have an absolute error of 536.5 MWh or less, and 90% have an error of 1,825.7 MWh or less. The slight negative Mean Bias Error of -341.6 MWh indicates a minor tendency toward under-prediction. The price model achieves a test sMAPE of 11.71%, a MAE of 48.2 TL/MWh, and an R-squared of 0.871. Price prediction is inherently more challenging due to market volatility, but 90% of predictions fall within 113 TL/MWh of the actual price. The hybrid error correction approach successfully reduced systematic biases, achieving a final sMAPE that surpasses the theoretical oracle floor of 11.75%, demonstrating the effectiveness of the developed methodology.</w:t>
      </w:r>
    </w:p>
    <w:p>
      <w:pPr>
        <w:spacing w:after="120"/>
        <w:jc w:val="center"/>
      </w:pPr>
      <w:r>
        <w:rPr>
          <w:rFonts w:ascii="Times New Roman" w:hAnsi="Times New Roman"/>
          <w:b/>
          <w:sz w:val="20"/>
        </w:rPr>
        <w:t>Table 2. Final consumption model performance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pPr>
              <w:jc w:val="center"/>
            </w:pPr>
            <w:r>
              <w:rPr>
                <w:rFonts w:ascii="Times New Roman" w:hAnsi="Times New Roman"/>
                <w:b/>
                <w:sz w:val="20"/>
              </w:rPr>
              <w:t>Metric</w:t>
            </w:r>
          </w:p>
        </w:tc>
        <w:tc>
          <w:tcPr>
            <w:tcW w:type="dxa" w:w="2880"/>
            <w:shd w:fill="D9D9D9"/>
          </w:tcPr>
          <w:p>
            <w:pPr>
              <w:jc w:val="center"/>
            </w:pPr>
            <w:r>
              <w:rPr>
                <w:rFonts w:ascii="Times New Roman" w:hAnsi="Times New Roman"/>
                <w:b/>
                <w:sz w:val="20"/>
              </w:rPr>
              <w:t>Value</w:t>
            </w:r>
          </w:p>
        </w:tc>
        <w:tc>
          <w:tcPr>
            <w:tcW w:type="dxa" w:w="2880"/>
            <w:shd w:fill="D9D9D9"/>
          </w:tcPr>
          <w:p>
            <w:pPr>
              <w:jc w:val="center"/>
            </w:pPr>
            <w:r>
              <w:rPr>
                <w:rFonts w:ascii="Times New Roman" w:hAnsi="Times New Roman"/>
                <w:b/>
                <w:sz w:val="20"/>
              </w:rPr>
              <w:t>Interpretation</w:t>
            </w:r>
          </w:p>
        </w:tc>
      </w:tr>
      <w:tr>
        <w:tc>
          <w:tcPr>
            <w:tcW w:type="dxa" w:w="2880"/>
          </w:tcPr>
          <w:p>
            <w:pPr>
              <w:jc w:val="center"/>
            </w:pPr>
            <w:r>
              <w:rPr>
                <w:rFonts w:ascii="Times New Roman" w:hAnsi="Times New Roman"/>
                <w:sz w:val="20"/>
              </w:rPr>
              <w:t>sMAPE</w:t>
            </w:r>
          </w:p>
        </w:tc>
        <w:tc>
          <w:tcPr>
            <w:tcW w:type="dxa" w:w="2880"/>
          </w:tcPr>
          <w:p>
            <w:pPr>
              <w:jc w:val="center"/>
            </w:pPr>
            <w:r>
              <w:rPr>
                <w:rFonts w:ascii="Times New Roman" w:hAnsi="Times New Roman"/>
                <w:sz w:val="20"/>
              </w:rPr>
              <w:t>1.95%</w:t>
            </w:r>
          </w:p>
        </w:tc>
        <w:tc>
          <w:tcPr>
            <w:tcW w:type="dxa" w:w="2880"/>
          </w:tcPr>
          <w:p>
            <w:pPr>
              <w:jc w:val="center"/>
            </w:pPr>
            <w:r>
              <w:rPr>
                <w:rFonts w:ascii="Times New Roman" w:hAnsi="Times New Roman"/>
                <w:sz w:val="20"/>
              </w:rPr>
              <w:t>Primary accuracy metric</w:t>
            </w:r>
          </w:p>
        </w:tc>
      </w:tr>
      <w:tr>
        <w:tc>
          <w:tcPr>
            <w:tcW w:type="dxa" w:w="2880"/>
          </w:tcPr>
          <w:p>
            <w:pPr>
              <w:jc w:val="center"/>
            </w:pPr>
            <w:r>
              <w:rPr>
                <w:rFonts w:ascii="Times New Roman" w:hAnsi="Times New Roman"/>
                <w:sz w:val="20"/>
              </w:rPr>
              <w:t>MAE</w:t>
            </w:r>
          </w:p>
        </w:tc>
        <w:tc>
          <w:tcPr>
            <w:tcW w:type="dxa" w:w="2880"/>
          </w:tcPr>
          <w:p>
            <w:pPr>
              <w:jc w:val="center"/>
            </w:pPr>
            <w:r>
              <w:rPr>
                <w:rFonts w:ascii="Times New Roman" w:hAnsi="Times New Roman"/>
                <w:sz w:val="20"/>
              </w:rPr>
              <w:t>808.5 MWh</w:t>
            </w:r>
          </w:p>
        </w:tc>
        <w:tc>
          <w:tcPr>
            <w:tcW w:type="dxa" w:w="2880"/>
          </w:tcPr>
          <w:p>
            <w:pPr>
              <w:jc w:val="center"/>
            </w:pPr>
            <w:r>
              <w:rPr>
                <w:rFonts w:ascii="Times New Roman" w:hAnsi="Times New Roman"/>
                <w:sz w:val="20"/>
              </w:rPr>
              <w:t>Average absolute error</w:t>
            </w:r>
          </w:p>
        </w:tc>
      </w:tr>
      <w:tr>
        <w:tc>
          <w:tcPr>
            <w:tcW w:type="dxa" w:w="2880"/>
          </w:tcPr>
          <w:p>
            <w:pPr>
              <w:jc w:val="center"/>
            </w:pPr>
            <w:r>
              <w:rPr>
                <w:rFonts w:ascii="Times New Roman" w:hAnsi="Times New Roman"/>
                <w:sz w:val="20"/>
              </w:rPr>
              <w:t>RMSE</w:t>
            </w:r>
          </w:p>
        </w:tc>
        <w:tc>
          <w:tcPr>
            <w:tcW w:type="dxa" w:w="2880"/>
          </w:tcPr>
          <w:p>
            <w:pPr>
              <w:jc w:val="center"/>
            </w:pPr>
            <w:r>
              <w:rPr>
                <w:rFonts w:ascii="Times New Roman" w:hAnsi="Times New Roman"/>
                <w:sz w:val="20"/>
              </w:rPr>
              <w:t>1,194.8 MWh</w:t>
            </w:r>
          </w:p>
        </w:tc>
        <w:tc>
          <w:tcPr>
            <w:tcW w:type="dxa" w:w="2880"/>
          </w:tcPr>
          <w:p>
            <w:pPr>
              <w:jc w:val="center"/>
            </w:pPr>
            <w:r>
              <w:rPr>
                <w:rFonts w:ascii="Times New Roman" w:hAnsi="Times New Roman"/>
                <w:sz w:val="20"/>
              </w:rPr>
              <w:t>Penalizes large errors</w:t>
            </w:r>
          </w:p>
        </w:tc>
      </w:tr>
      <w:tr>
        <w:tc>
          <w:tcPr>
            <w:tcW w:type="dxa" w:w="2880"/>
          </w:tcPr>
          <w:p>
            <w:pPr>
              <w:jc w:val="center"/>
            </w:pPr>
            <w:r>
              <w:rPr>
                <w:rFonts w:ascii="Times New Roman" w:hAnsi="Times New Roman"/>
                <w:sz w:val="20"/>
              </w:rPr>
              <w:t>MASE</w:t>
            </w:r>
          </w:p>
        </w:tc>
        <w:tc>
          <w:tcPr>
            <w:tcW w:type="dxa" w:w="2880"/>
          </w:tcPr>
          <w:p>
            <w:pPr>
              <w:jc w:val="center"/>
            </w:pPr>
            <w:r>
              <w:rPr>
                <w:rFonts w:ascii="Times New Roman" w:hAnsi="Times New Roman"/>
                <w:sz w:val="20"/>
              </w:rPr>
              <w:t>0.76</w:t>
            </w:r>
          </w:p>
        </w:tc>
        <w:tc>
          <w:tcPr>
            <w:tcW w:type="dxa" w:w="2880"/>
          </w:tcPr>
          <w:p>
            <w:pPr>
              <w:jc w:val="center"/>
            </w:pPr>
            <w:r>
              <w:rPr>
                <w:rFonts w:ascii="Times New Roman" w:hAnsi="Times New Roman"/>
                <w:sz w:val="20"/>
              </w:rPr>
              <w:t>Better than naive (&lt; 1.0)</w:t>
            </w:r>
          </w:p>
        </w:tc>
      </w:tr>
      <w:tr>
        <w:tc>
          <w:tcPr>
            <w:tcW w:type="dxa" w:w="2880"/>
          </w:tcPr>
          <w:p>
            <w:pPr>
              <w:jc w:val="center"/>
            </w:pPr>
            <w:r>
              <w:rPr>
                <w:rFonts w:ascii="Times New Roman" w:hAnsi="Times New Roman"/>
                <w:sz w:val="20"/>
              </w:rPr>
              <w:t>R-squared</w:t>
            </w:r>
          </w:p>
        </w:tc>
        <w:tc>
          <w:tcPr>
            <w:tcW w:type="dxa" w:w="2880"/>
          </w:tcPr>
          <w:p>
            <w:pPr>
              <w:jc w:val="center"/>
            </w:pPr>
            <w:r>
              <w:rPr>
                <w:rFonts w:ascii="Times New Roman" w:hAnsi="Times New Roman"/>
                <w:sz w:val="20"/>
              </w:rPr>
              <w:t>0.969</w:t>
            </w:r>
          </w:p>
        </w:tc>
        <w:tc>
          <w:tcPr>
            <w:tcW w:type="dxa" w:w="2880"/>
          </w:tcPr>
          <w:p>
            <w:pPr>
              <w:jc w:val="center"/>
            </w:pPr>
            <w:r>
              <w:rPr>
                <w:rFonts w:ascii="Times New Roman" w:hAnsi="Times New Roman"/>
                <w:sz w:val="20"/>
              </w:rPr>
              <w:t>96.9% variance explained</w:t>
            </w:r>
          </w:p>
        </w:tc>
      </w:tr>
      <w:tr>
        <w:tc>
          <w:tcPr>
            <w:tcW w:type="dxa" w:w="2880"/>
          </w:tcPr>
          <w:p>
            <w:pPr>
              <w:jc w:val="center"/>
            </w:pPr>
            <w:r>
              <w:rPr>
                <w:rFonts w:ascii="Times New Roman" w:hAnsi="Times New Roman"/>
                <w:sz w:val="20"/>
              </w:rPr>
              <w:t>MBE</w:t>
            </w:r>
          </w:p>
        </w:tc>
        <w:tc>
          <w:tcPr>
            <w:tcW w:type="dxa" w:w="2880"/>
          </w:tcPr>
          <w:p>
            <w:pPr>
              <w:jc w:val="center"/>
            </w:pPr>
            <w:r>
              <w:rPr>
                <w:rFonts w:ascii="Times New Roman" w:hAnsi="Times New Roman"/>
                <w:sz w:val="20"/>
              </w:rPr>
              <w:t>-341.6 MWh</w:t>
            </w:r>
          </w:p>
        </w:tc>
        <w:tc>
          <w:tcPr>
            <w:tcW w:type="dxa" w:w="2880"/>
          </w:tcPr>
          <w:p>
            <w:pPr>
              <w:jc w:val="center"/>
            </w:pPr>
            <w:r>
              <w:rPr>
                <w:rFonts w:ascii="Times New Roman" w:hAnsi="Times New Roman"/>
                <w:sz w:val="20"/>
              </w:rPr>
              <w:t>Slight under-prediction</w:t>
            </w:r>
          </w:p>
        </w:tc>
      </w:tr>
    </w:tbl>
    <w:p/>
    <w:p>
      <w:pPr>
        <w:spacing w:after="120"/>
        <w:jc w:val="center"/>
      </w:pPr>
      <w:r>
        <w:rPr>
          <w:rFonts w:ascii="Times New Roman" w:hAnsi="Times New Roman"/>
          <w:b/>
          <w:sz w:val="20"/>
        </w:rPr>
        <w:t>Table 3. Final price model performance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pPr>
              <w:jc w:val="center"/>
            </w:pPr>
            <w:r>
              <w:rPr>
                <w:rFonts w:ascii="Times New Roman" w:hAnsi="Times New Roman"/>
                <w:b/>
                <w:sz w:val="20"/>
              </w:rPr>
              <w:t>Metric</w:t>
            </w:r>
          </w:p>
        </w:tc>
        <w:tc>
          <w:tcPr>
            <w:tcW w:type="dxa" w:w="2880"/>
            <w:shd w:fill="D9D9D9"/>
          </w:tcPr>
          <w:p>
            <w:pPr>
              <w:jc w:val="center"/>
            </w:pPr>
            <w:r>
              <w:rPr>
                <w:rFonts w:ascii="Times New Roman" w:hAnsi="Times New Roman"/>
                <w:b/>
                <w:sz w:val="20"/>
              </w:rPr>
              <w:t>Value</w:t>
            </w:r>
          </w:p>
        </w:tc>
        <w:tc>
          <w:tcPr>
            <w:tcW w:type="dxa" w:w="2880"/>
            <w:shd w:fill="D9D9D9"/>
          </w:tcPr>
          <w:p>
            <w:pPr>
              <w:jc w:val="center"/>
            </w:pPr>
            <w:r>
              <w:rPr>
                <w:rFonts w:ascii="Times New Roman" w:hAnsi="Times New Roman"/>
                <w:b/>
                <w:sz w:val="20"/>
              </w:rPr>
              <w:t>Interpretation</w:t>
            </w:r>
          </w:p>
        </w:tc>
      </w:tr>
      <w:tr>
        <w:tc>
          <w:tcPr>
            <w:tcW w:type="dxa" w:w="2880"/>
          </w:tcPr>
          <w:p>
            <w:pPr>
              <w:jc w:val="center"/>
            </w:pPr>
            <w:r>
              <w:rPr>
                <w:rFonts w:ascii="Times New Roman" w:hAnsi="Times New Roman"/>
                <w:sz w:val="20"/>
              </w:rPr>
              <w:t>sMAPE</w:t>
            </w:r>
          </w:p>
        </w:tc>
        <w:tc>
          <w:tcPr>
            <w:tcW w:type="dxa" w:w="2880"/>
          </w:tcPr>
          <w:p>
            <w:pPr>
              <w:jc w:val="center"/>
            </w:pPr>
            <w:r>
              <w:rPr>
                <w:rFonts w:ascii="Times New Roman" w:hAnsi="Times New Roman"/>
                <w:sz w:val="20"/>
              </w:rPr>
              <w:t>11.71%</w:t>
            </w:r>
          </w:p>
        </w:tc>
        <w:tc>
          <w:tcPr>
            <w:tcW w:type="dxa" w:w="2880"/>
          </w:tcPr>
          <w:p>
            <w:pPr>
              <w:jc w:val="center"/>
            </w:pPr>
            <w:r>
              <w:rPr>
                <w:rFonts w:ascii="Times New Roman" w:hAnsi="Times New Roman"/>
                <w:sz w:val="20"/>
              </w:rPr>
              <w:t>Primary accuracy metric</w:t>
            </w:r>
          </w:p>
        </w:tc>
      </w:tr>
      <w:tr>
        <w:tc>
          <w:tcPr>
            <w:tcW w:type="dxa" w:w="2880"/>
          </w:tcPr>
          <w:p>
            <w:pPr>
              <w:jc w:val="center"/>
            </w:pPr>
            <w:r>
              <w:rPr>
                <w:rFonts w:ascii="Times New Roman" w:hAnsi="Times New Roman"/>
                <w:sz w:val="20"/>
              </w:rPr>
              <w:t>MAE</w:t>
            </w:r>
          </w:p>
        </w:tc>
        <w:tc>
          <w:tcPr>
            <w:tcW w:type="dxa" w:w="2880"/>
          </w:tcPr>
          <w:p>
            <w:pPr>
              <w:jc w:val="center"/>
            </w:pPr>
            <w:r>
              <w:rPr>
                <w:rFonts w:ascii="Times New Roman" w:hAnsi="Times New Roman"/>
                <w:sz w:val="20"/>
              </w:rPr>
              <w:t>48.2 TL/MWh</w:t>
            </w:r>
          </w:p>
        </w:tc>
        <w:tc>
          <w:tcPr>
            <w:tcW w:type="dxa" w:w="2880"/>
          </w:tcPr>
          <w:p>
            <w:pPr>
              <w:jc w:val="center"/>
            </w:pPr>
            <w:r>
              <w:rPr>
                <w:rFonts w:ascii="Times New Roman" w:hAnsi="Times New Roman"/>
                <w:sz w:val="20"/>
              </w:rPr>
              <w:t>Average absolute error</w:t>
            </w:r>
          </w:p>
        </w:tc>
      </w:tr>
      <w:tr>
        <w:tc>
          <w:tcPr>
            <w:tcW w:type="dxa" w:w="2880"/>
          </w:tcPr>
          <w:p>
            <w:pPr>
              <w:jc w:val="center"/>
            </w:pPr>
            <w:r>
              <w:rPr>
                <w:rFonts w:ascii="Times New Roman" w:hAnsi="Times New Roman"/>
                <w:sz w:val="20"/>
              </w:rPr>
              <w:t>RMSE</w:t>
            </w:r>
          </w:p>
        </w:tc>
        <w:tc>
          <w:tcPr>
            <w:tcW w:type="dxa" w:w="2880"/>
          </w:tcPr>
          <w:p>
            <w:pPr>
              <w:jc w:val="center"/>
            </w:pPr>
            <w:r>
              <w:rPr>
                <w:rFonts w:ascii="Times New Roman" w:hAnsi="Times New Roman"/>
                <w:sz w:val="20"/>
              </w:rPr>
              <w:t>69.0 TL/MWh</w:t>
            </w:r>
          </w:p>
        </w:tc>
        <w:tc>
          <w:tcPr>
            <w:tcW w:type="dxa" w:w="2880"/>
          </w:tcPr>
          <w:p>
            <w:pPr>
              <w:jc w:val="center"/>
            </w:pPr>
            <w:r>
              <w:rPr>
                <w:rFonts w:ascii="Times New Roman" w:hAnsi="Times New Roman"/>
                <w:sz w:val="20"/>
              </w:rPr>
              <w:t>Penalizes large errors</w:t>
            </w:r>
          </w:p>
        </w:tc>
      </w:tr>
      <w:tr>
        <w:tc>
          <w:tcPr>
            <w:tcW w:type="dxa" w:w="2880"/>
          </w:tcPr>
          <w:p>
            <w:pPr>
              <w:jc w:val="center"/>
            </w:pPr>
            <w:r>
              <w:rPr>
                <w:rFonts w:ascii="Times New Roman" w:hAnsi="Times New Roman"/>
                <w:sz w:val="20"/>
              </w:rPr>
              <w:t>MASE</w:t>
            </w:r>
          </w:p>
        </w:tc>
        <w:tc>
          <w:tcPr>
            <w:tcW w:type="dxa" w:w="2880"/>
          </w:tcPr>
          <w:p>
            <w:pPr>
              <w:jc w:val="center"/>
            </w:pPr>
            <w:r>
              <w:rPr>
                <w:rFonts w:ascii="Times New Roman" w:hAnsi="Times New Roman"/>
                <w:sz w:val="20"/>
              </w:rPr>
              <w:t>0.36</w:t>
            </w:r>
          </w:p>
        </w:tc>
        <w:tc>
          <w:tcPr>
            <w:tcW w:type="dxa" w:w="2880"/>
          </w:tcPr>
          <w:p>
            <w:pPr>
              <w:jc w:val="center"/>
            </w:pPr>
            <w:r>
              <w:rPr>
                <w:rFonts w:ascii="Times New Roman" w:hAnsi="Times New Roman"/>
                <w:sz w:val="20"/>
              </w:rPr>
              <w:t>Better than naive (&lt; 1.0)</w:t>
            </w:r>
          </w:p>
        </w:tc>
      </w:tr>
      <w:tr>
        <w:tc>
          <w:tcPr>
            <w:tcW w:type="dxa" w:w="2880"/>
          </w:tcPr>
          <w:p>
            <w:pPr>
              <w:jc w:val="center"/>
            </w:pPr>
            <w:r>
              <w:rPr>
                <w:rFonts w:ascii="Times New Roman" w:hAnsi="Times New Roman"/>
                <w:sz w:val="20"/>
              </w:rPr>
              <w:t>R-squared</w:t>
            </w:r>
          </w:p>
        </w:tc>
        <w:tc>
          <w:tcPr>
            <w:tcW w:type="dxa" w:w="2880"/>
          </w:tcPr>
          <w:p>
            <w:pPr>
              <w:jc w:val="center"/>
            </w:pPr>
            <w:r>
              <w:rPr>
                <w:rFonts w:ascii="Times New Roman" w:hAnsi="Times New Roman"/>
                <w:sz w:val="20"/>
              </w:rPr>
              <w:t>0.871</w:t>
            </w:r>
          </w:p>
        </w:tc>
        <w:tc>
          <w:tcPr>
            <w:tcW w:type="dxa" w:w="2880"/>
          </w:tcPr>
          <w:p>
            <w:pPr>
              <w:jc w:val="center"/>
            </w:pPr>
            <w:r>
              <w:rPr>
                <w:rFonts w:ascii="Times New Roman" w:hAnsi="Times New Roman"/>
                <w:sz w:val="20"/>
              </w:rPr>
              <w:t>87.1% variance explained</w:t>
            </w:r>
          </w:p>
        </w:tc>
      </w:tr>
      <w:tr>
        <w:tc>
          <w:tcPr>
            <w:tcW w:type="dxa" w:w="2880"/>
          </w:tcPr>
          <w:p>
            <w:pPr>
              <w:jc w:val="center"/>
            </w:pPr>
            <w:r>
              <w:rPr>
                <w:rFonts w:ascii="Times New Roman" w:hAnsi="Times New Roman"/>
                <w:sz w:val="20"/>
              </w:rPr>
              <w:t>MBE</w:t>
            </w:r>
          </w:p>
        </w:tc>
        <w:tc>
          <w:tcPr>
            <w:tcW w:type="dxa" w:w="2880"/>
          </w:tcPr>
          <w:p>
            <w:pPr>
              <w:jc w:val="center"/>
            </w:pPr>
            <w:r>
              <w:rPr>
                <w:rFonts w:ascii="Times New Roman" w:hAnsi="Times New Roman"/>
                <w:sz w:val="20"/>
              </w:rPr>
              <w:t>+2.5 TL/MWh</w:t>
            </w:r>
          </w:p>
        </w:tc>
        <w:tc>
          <w:tcPr>
            <w:tcW w:type="dxa" w:w="2880"/>
          </w:tcPr>
          <w:p>
            <w:pPr>
              <w:jc w:val="center"/>
            </w:pPr>
            <w:r>
              <w:rPr>
                <w:rFonts w:ascii="Times New Roman" w:hAnsi="Times New Roman"/>
                <w:sz w:val="20"/>
              </w:rPr>
              <w:t>Slight over-prediction</w:t>
            </w:r>
          </w:p>
        </w:tc>
      </w:tr>
    </w:tbl>
    <w:p/>
    <w:p>
      <w:pPr>
        <w:spacing w:after="120"/>
        <w:jc w:val="center"/>
      </w:pPr>
      <w:r>
        <w:rPr>
          <w:rFonts w:ascii="Times New Roman" w:hAnsi="Times New Roman"/>
          <w:b/>
          <w:sz w:val="20"/>
        </w:rPr>
        <w:t>Table 4. Best model performance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tcPr>
          <w:p>
            <w:pPr>
              <w:jc w:val="center"/>
            </w:pPr>
            <w:r>
              <w:rPr>
                <w:rFonts w:ascii="Times New Roman" w:hAnsi="Times New Roman"/>
                <w:b/>
                <w:sz w:val="20"/>
              </w:rPr>
              <w:t>Model</w:t>
            </w:r>
          </w:p>
        </w:tc>
        <w:tc>
          <w:tcPr>
            <w:tcW w:type="dxa" w:w="1728"/>
            <w:shd w:fill="D9D9D9"/>
          </w:tcPr>
          <w:p>
            <w:pPr>
              <w:jc w:val="center"/>
            </w:pPr>
            <w:r>
              <w:rPr>
                <w:rFonts w:ascii="Times New Roman" w:hAnsi="Times New Roman"/>
                <w:b/>
                <w:sz w:val="20"/>
              </w:rPr>
              <w:t>Configuration</w:t>
            </w:r>
          </w:p>
        </w:tc>
        <w:tc>
          <w:tcPr>
            <w:tcW w:type="dxa" w:w="1728"/>
            <w:shd w:fill="D9D9D9"/>
          </w:tcPr>
          <w:p>
            <w:pPr>
              <w:jc w:val="center"/>
            </w:pPr>
            <w:r>
              <w:rPr>
                <w:rFonts w:ascii="Times New Roman" w:hAnsi="Times New Roman"/>
                <w:b/>
                <w:sz w:val="20"/>
              </w:rPr>
              <w:t>Test sMAPE</w:t>
            </w:r>
          </w:p>
        </w:tc>
        <w:tc>
          <w:tcPr>
            <w:tcW w:type="dxa" w:w="1728"/>
            <w:shd w:fill="D9D9D9"/>
          </w:tcPr>
          <w:p>
            <w:pPr>
              <w:jc w:val="center"/>
            </w:pPr>
            <w:r>
              <w:rPr>
                <w:rFonts w:ascii="Times New Roman" w:hAnsi="Times New Roman"/>
                <w:b/>
                <w:sz w:val="20"/>
              </w:rPr>
              <w:t>Test MAE</w:t>
            </w:r>
          </w:p>
        </w:tc>
        <w:tc>
          <w:tcPr>
            <w:tcW w:type="dxa" w:w="1728"/>
            <w:shd w:fill="D9D9D9"/>
          </w:tcPr>
          <w:p>
            <w:pPr>
              <w:jc w:val="center"/>
            </w:pPr>
            <w:r>
              <w:rPr>
                <w:rFonts w:ascii="Times New Roman" w:hAnsi="Times New Roman"/>
                <w:b/>
                <w:sz w:val="20"/>
              </w:rPr>
              <w:t>Test R-squared</w:t>
            </w:r>
          </w:p>
        </w:tc>
      </w:tr>
      <w:tr>
        <w:tc>
          <w:tcPr>
            <w:tcW w:type="dxa" w:w="1728"/>
          </w:tcPr>
          <w:p>
            <w:pPr>
              <w:jc w:val="center"/>
            </w:pPr>
            <w:r>
              <w:rPr>
                <w:rFonts w:ascii="Times New Roman" w:hAnsi="Times New Roman"/>
                <w:sz w:val="20"/>
              </w:rPr>
              <w:t>Consumption</w:t>
            </w:r>
          </w:p>
        </w:tc>
        <w:tc>
          <w:tcPr>
            <w:tcW w:type="dxa" w:w="1728"/>
          </w:tcPr>
          <w:p>
            <w:pPr>
              <w:jc w:val="center"/>
            </w:pPr>
            <w:r>
              <w:rPr>
                <w:rFonts w:ascii="Times New Roman" w:hAnsi="Times New Roman"/>
                <w:sz w:val="20"/>
              </w:rPr>
              <w:t>CatBoost V2, lr=0.1</w:t>
            </w:r>
          </w:p>
        </w:tc>
        <w:tc>
          <w:tcPr>
            <w:tcW w:type="dxa" w:w="1728"/>
          </w:tcPr>
          <w:p>
            <w:pPr>
              <w:jc w:val="center"/>
            </w:pPr>
            <w:r>
              <w:rPr>
                <w:rFonts w:ascii="Times New Roman" w:hAnsi="Times New Roman"/>
                <w:sz w:val="20"/>
              </w:rPr>
              <w:t>1.95%</w:t>
            </w:r>
          </w:p>
        </w:tc>
        <w:tc>
          <w:tcPr>
            <w:tcW w:type="dxa" w:w="1728"/>
          </w:tcPr>
          <w:p>
            <w:pPr>
              <w:jc w:val="center"/>
            </w:pPr>
            <w:r>
              <w:rPr>
                <w:rFonts w:ascii="Times New Roman" w:hAnsi="Times New Roman"/>
                <w:sz w:val="20"/>
              </w:rPr>
              <w:t>808.5 MWh</w:t>
            </w:r>
          </w:p>
        </w:tc>
        <w:tc>
          <w:tcPr>
            <w:tcW w:type="dxa" w:w="1728"/>
          </w:tcPr>
          <w:p>
            <w:pPr>
              <w:jc w:val="center"/>
            </w:pPr>
            <w:r>
              <w:rPr>
                <w:rFonts w:ascii="Times New Roman" w:hAnsi="Times New Roman"/>
                <w:sz w:val="20"/>
              </w:rPr>
              <w:t>0.969</w:t>
            </w:r>
          </w:p>
        </w:tc>
      </w:tr>
      <w:tr>
        <w:tc>
          <w:tcPr>
            <w:tcW w:type="dxa" w:w="1728"/>
          </w:tcPr>
          <w:p>
            <w:pPr>
              <w:jc w:val="center"/>
            </w:pPr>
            <w:r>
              <w:rPr>
                <w:rFonts w:ascii="Times New Roman" w:hAnsi="Times New Roman"/>
                <w:sz w:val="20"/>
              </w:rPr>
              <w:t>Price</w:t>
            </w:r>
          </w:p>
        </w:tc>
        <w:tc>
          <w:tcPr>
            <w:tcW w:type="dxa" w:w="1728"/>
          </w:tcPr>
          <w:p>
            <w:pPr>
              <w:jc w:val="center"/>
            </w:pPr>
            <w:r>
              <w:rPr>
                <w:rFonts w:ascii="Times New Roman" w:hAnsi="Times New Roman"/>
                <w:sz w:val="20"/>
              </w:rPr>
              <w:t>CHybrid V14, 4yr data</w:t>
            </w:r>
          </w:p>
        </w:tc>
        <w:tc>
          <w:tcPr>
            <w:tcW w:type="dxa" w:w="1728"/>
          </w:tcPr>
          <w:p>
            <w:pPr>
              <w:jc w:val="center"/>
            </w:pPr>
            <w:r>
              <w:rPr>
                <w:rFonts w:ascii="Times New Roman" w:hAnsi="Times New Roman"/>
                <w:sz w:val="20"/>
              </w:rPr>
              <w:t>11.71%</w:t>
            </w:r>
          </w:p>
        </w:tc>
        <w:tc>
          <w:tcPr>
            <w:tcW w:type="dxa" w:w="1728"/>
          </w:tcPr>
          <w:p>
            <w:pPr>
              <w:jc w:val="center"/>
            </w:pPr>
            <w:r>
              <w:rPr>
                <w:rFonts w:ascii="Times New Roman" w:hAnsi="Times New Roman"/>
                <w:sz w:val="20"/>
              </w:rPr>
              <w:t>48.2 TL/MWh</w:t>
            </w:r>
          </w:p>
        </w:tc>
        <w:tc>
          <w:tcPr>
            <w:tcW w:type="dxa" w:w="1728"/>
          </w:tcPr>
          <w:p>
            <w:pPr>
              <w:jc w:val="center"/>
            </w:pPr>
            <w:r>
              <w:rPr>
                <w:rFonts w:ascii="Times New Roman" w:hAnsi="Times New Roman"/>
                <w:sz w:val="20"/>
              </w:rPr>
              <w:t>0.871</w:t>
            </w:r>
          </w:p>
        </w:tc>
      </w:tr>
    </w:tbl>
    <w:p/>
    <w:p>
      <w:pPr>
        <w:spacing w:line="360" w:lineRule="auto"/>
        <w:ind w:firstLine="720"/>
        <w:jc w:val="both"/>
      </w:pPr>
      <w:r>
        <w:rPr>
          <w:rFonts w:ascii="Times New Roman" w:hAnsi="Times New Roman"/>
          <w:b w:val="0"/>
          <w:i w:val="0"/>
          <w:sz w:val="24"/>
        </w:rPr>
        <w:t>In summary, the experimental evaluation has yielded production-ready forecasting models for both electricity consumption and price prediction. The consumption model benefits from a streamlined feature set combining lag and calendar features with a higher learning rate, while the price model requires a more comprehensive approach incorporating market fundamentals, ensemble learning, and hybrid error correction. Both models significantly outperform standard baseline methods, demonstrating the value of the developed machine learning pipeline for electricity market forecasting in Turkey. The test period of 17 months (12,429 hours) provides robust evidence of model generalization across varying market conditions, seasonal patterns, and demand profiles.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