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b/>
          <w:sz w:val="26"/>
        </w:rPr>
        <w:t>2.5 System Architecture</w:t>
      </w:r>
    </w:p>
    <w:p>
      <w:pPr>
        <w:spacing w:line="360" w:lineRule="auto"/>
        <w:ind w:firstLine="720"/>
        <w:jc w:val="both"/>
      </w:pPr>
      <w:r>
        <w:rPr>
          <w:rFonts w:ascii="Times New Roman" w:hAnsi="Times New Roman"/>
          <w:b w:val="0"/>
          <w:i w:val="0"/>
          <w:sz w:val="24"/>
        </w:rPr>
        <w:t>The ForeWatt platform was designed with a cloud-native architecture to ensure scalability, reliability, and cost-effectiveness for production deployment. The system architecture follows modern microservices principles while maintaining simplicity through a serverless deployment model. The backend API was built using FastAPI, a high-performance Python web framework that leverages asynchronous programming patterns for optimal throughput, and is deployed on Google Cloud Run, which provides automatic scaling, pay-per-use pricing, and seamless integration with other Google Cloud services. The architecture was designed to handle the complete lifecycle of electricity market forecasting, from data ingestion through external APIs to real-time forecast delivery to end users.</w:t>
      </w:r>
    </w:p>
    <w:p>
      <w:pPr>
        <w:jc w:val="center"/>
      </w:pPr>
      <w:r>
        <w:drawing>
          <wp:inline xmlns:a="http://schemas.openxmlformats.org/drawingml/2006/main" xmlns:pic="http://schemas.openxmlformats.org/drawingml/2006/picture">
            <wp:extent cx="5029200" cy="3375850"/>
            <wp:docPr id="1" name="Picture 1"/>
            <wp:cNvGraphicFramePr>
              <a:graphicFrameLocks noChangeAspect="1"/>
            </wp:cNvGraphicFramePr>
            <a:graphic>
              <a:graphicData uri="http://schemas.openxmlformats.org/drawingml/2006/picture">
                <pic:pic>
                  <pic:nvPicPr>
                    <pic:cNvPr id="0" name="15_system_context_diagram.jpg"/>
                    <pic:cNvPicPr/>
                  </pic:nvPicPr>
                  <pic:blipFill>
                    <a:blip r:embed="rId9"/>
                    <a:stretch>
                      <a:fillRect/>
                    </a:stretch>
                  </pic:blipFill>
                  <pic:spPr>
                    <a:xfrm>
                      <a:off x="0" y="0"/>
                      <a:ext cx="5029200" cy="3375850"/>
                    </a:xfrm>
                    <a:prstGeom prst="rect"/>
                  </pic:spPr>
                </pic:pic>
              </a:graphicData>
            </a:graphic>
          </wp:inline>
        </w:drawing>
      </w:r>
    </w:p>
    <w:p>
      <w:pPr>
        <w:spacing w:after="240"/>
        <w:jc w:val="center"/>
      </w:pPr>
      <w:r>
        <w:rPr>
          <w:rFonts w:ascii="Times New Roman" w:hAnsi="Times New Roman"/>
          <w:i/>
          <w:sz w:val="20"/>
        </w:rPr>
        <w:t>Figure 15. System context diagram illustrating the high-level interactions between ForeWatt and external systems including EPIAS, weather APIs, and end users.</w:t>
      </w:r>
    </w:p>
    <w:p>
      <w:pPr>
        <w:jc w:val="center"/>
      </w:pPr>
      <w:r>
        <w:drawing>
          <wp:inline xmlns:a="http://schemas.openxmlformats.org/drawingml/2006/main" xmlns:pic="http://schemas.openxmlformats.org/drawingml/2006/picture">
            <wp:extent cx="5029200" cy="4343972"/>
            <wp:docPr id="2" name="Picture 2"/>
            <wp:cNvGraphicFramePr>
              <a:graphicFrameLocks noChangeAspect="1"/>
            </wp:cNvGraphicFramePr>
            <a:graphic>
              <a:graphicData uri="http://schemas.openxmlformats.org/drawingml/2006/picture">
                <pic:pic>
                  <pic:nvPicPr>
                    <pic:cNvPr id="0" name="05_complete_system_architecture.jpg"/>
                    <pic:cNvPicPr/>
                  </pic:nvPicPr>
                  <pic:blipFill>
                    <a:blip r:embed="rId10"/>
                    <a:stretch>
                      <a:fillRect/>
                    </a:stretch>
                  </pic:blipFill>
                  <pic:spPr>
                    <a:xfrm>
                      <a:off x="0" y="0"/>
                      <a:ext cx="5029200" cy="4343972"/>
                    </a:xfrm>
                    <a:prstGeom prst="rect"/>
                  </pic:spPr>
                </pic:pic>
              </a:graphicData>
            </a:graphic>
          </wp:inline>
        </w:drawing>
      </w:r>
    </w:p>
    <w:p>
      <w:pPr>
        <w:spacing w:after="240"/>
        <w:jc w:val="center"/>
      </w:pPr>
      <w:r>
        <w:rPr>
          <w:rFonts w:ascii="Times New Roman" w:hAnsi="Times New Roman"/>
          <w:i/>
          <w:sz w:val="20"/>
        </w:rPr>
        <w:t>Figure 16. Complete system architecture showing data flow from external sources through the ML pipeline to the frontend dashboard.</w:t>
      </w:r>
    </w:p>
    <w:p>
      <w:pPr>
        <w:spacing w:line="360" w:lineRule="auto"/>
        <w:ind w:firstLine="720"/>
        <w:jc w:val="both"/>
      </w:pPr>
      <w:r>
        <w:rPr>
          <w:rFonts w:ascii="Times New Roman" w:hAnsi="Times New Roman"/>
          <w:b w:val="0"/>
          <w:i w:val="0"/>
          <w:sz w:val="24"/>
        </w:rPr>
        <w:t>The FastAPI application serves as the central API gateway, exposing multiple endpoints for forecast generation, data retrieval, and system monitoring. The primary endpoints include POST /forecast for triggering hourly forecast generation, GET /api/realtime/{model} for fetching real-time forecasts from Firestore, GET /history/{model} for retrieving historical data from Parquet archives, and GET /api/anomaly/{model} for accessing anomaly detection results. Additional endpoints such as GET /api/aggregates/day-type/{model} and GET /api/aggregates/hourly/{model} provide pre-computed statistics for efficient dashboard loading, enabling rapid visualization of weekday versus weekend consumption patterns and hourly demand profiles. The API was designed with RESTful principles, utilizing query parameters for date filtering and pagination while returning JSON responses with consistent data structures that facilitate seamless integration with the React frontend.</w:t>
      </w:r>
    </w:p>
    <w:p>
      <w:pPr>
        <w:jc w:val="center"/>
      </w:pPr>
      <w:r>
        <w:drawing>
          <wp:inline xmlns:a="http://schemas.openxmlformats.org/drawingml/2006/main" xmlns:pic="http://schemas.openxmlformats.org/drawingml/2006/picture">
            <wp:extent cx="5029200" cy="1568482"/>
            <wp:docPr id="3" name="Picture 3"/>
            <wp:cNvGraphicFramePr>
              <a:graphicFrameLocks noChangeAspect="1"/>
            </wp:cNvGraphicFramePr>
            <a:graphic>
              <a:graphicData uri="http://schemas.openxmlformats.org/drawingml/2006/picture">
                <pic:pic>
                  <pic:nvPicPr>
                    <pic:cNvPr id="0" name="17_fastapi_endpoint_architecture.jpg"/>
                    <pic:cNvPicPr/>
                  </pic:nvPicPr>
                  <pic:blipFill>
                    <a:blip r:embed="rId11"/>
                    <a:stretch>
                      <a:fillRect/>
                    </a:stretch>
                  </pic:blipFill>
                  <pic:spPr>
                    <a:xfrm>
                      <a:off x="0" y="0"/>
                      <a:ext cx="5029200" cy="1568482"/>
                    </a:xfrm>
                    <a:prstGeom prst="rect"/>
                  </pic:spPr>
                </pic:pic>
              </a:graphicData>
            </a:graphic>
          </wp:inline>
        </w:drawing>
      </w:r>
    </w:p>
    <w:p>
      <w:pPr>
        <w:spacing w:after="240"/>
        <w:jc w:val="center"/>
      </w:pPr>
      <w:r>
        <w:rPr>
          <w:rFonts w:ascii="Times New Roman" w:hAnsi="Times New Roman"/>
          <w:i/>
          <w:sz w:val="20"/>
        </w:rPr>
        <w:t>Figure 17. FastAPI endpoint architecture showing the routing structure and handler organization for forecast and data retrieval operations.</w:t>
      </w:r>
    </w:p>
    <w:p>
      <w:pPr>
        <w:jc w:val="center"/>
      </w:pPr>
      <w:r>
        <w:drawing>
          <wp:inline xmlns:a="http://schemas.openxmlformats.org/drawingml/2006/main" xmlns:pic="http://schemas.openxmlformats.org/drawingml/2006/picture">
            <wp:extent cx="5029200" cy="2684336"/>
            <wp:docPr id="4" name="Picture 4"/>
            <wp:cNvGraphicFramePr>
              <a:graphicFrameLocks noChangeAspect="1"/>
            </wp:cNvGraphicFramePr>
            <a:graphic>
              <a:graphicData uri="http://schemas.openxmlformats.org/drawingml/2006/picture">
                <pic:pic>
                  <pic:nvPicPr>
                    <pic:cNvPr id="0" name="11_cloud_deployment_architecture.jpg"/>
                    <pic:cNvPicPr/>
                  </pic:nvPicPr>
                  <pic:blipFill>
                    <a:blip r:embed="rId12"/>
                    <a:stretch>
                      <a:fillRect/>
                    </a:stretch>
                  </pic:blipFill>
                  <pic:spPr>
                    <a:xfrm>
                      <a:off x="0" y="0"/>
                      <a:ext cx="5029200" cy="2684336"/>
                    </a:xfrm>
                    <a:prstGeom prst="rect"/>
                  </pic:spPr>
                </pic:pic>
              </a:graphicData>
            </a:graphic>
          </wp:inline>
        </w:drawing>
      </w:r>
    </w:p>
    <w:p>
      <w:pPr>
        <w:spacing w:after="240"/>
        <w:jc w:val="center"/>
      </w:pPr>
      <w:r>
        <w:rPr>
          <w:rFonts w:ascii="Times New Roman" w:hAnsi="Times New Roman"/>
          <w:i/>
          <w:sz w:val="20"/>
        </w:rPr>
        <w:t>Figure 18. Cloud deployment architecture on Google Cloud Platform showing the interaction between Cloud Run, Cloud Scheduler, Firestore, and Cloud Storage.</w:t>
      </w:r>
    </w:p>
    <w:p>
      <w:pPr>
        <w:spacing w:line="360" w:lineRule="auto"/>
        <w:ind w:firstLine="720"/>
        <w:jc w:val="both"/>
      </w:pPr>
      <w:r>
        <w:rPr>
          <w:rFonts w:ascii="Times New Roman" w:hAnsi="Times New Roman"/>
          <w:b w:val="0"/>
          <w:i w:val="0"/>
          <w:sz w:val="24"/>
        </w:rPr>
        <w:t>To optimize cold start performance on Cloud Run, several strategies were implemented to minimize container initialization latency. The forecast pipeline and Firestore client were designed with lazy loading patterns, where expensive imports and model loading are deferred until the first request requires them. This approach reduces the initial container startup time from approximately 15 seconds to under 3 seconds, significantly improving user experience for the first request after container scaling events. GZIP compression middleware was enabled with a minimum response size of 1000 bytes, achieving 80-90 percent reduction in response payload sizes for large forecast datasets containing multiple days of hourly predictions. Cross-Origin Resource Sharing (CORS) middleware was configured to allow requests from the Firebase-hosted dashboard domain while maintaining security for production deployments by rejecting unauthorized origins.</w:t>
      </w:r>
    </w:p>
    <w:p>
      <w:pPr>
        <w:jc w:val="center"/>
      </w:pPr>
      <w:r>
        <w:drawing>
          <wp:inline xmlns:a="http://schemas.openxmlformats.org/drawingml/2006/main" xmlns:pic="http://schemas.openxmlformats.org/drawingml/2006/picture">
            <wp:extent cx="5029200" cy="1282446"/>
            <wp:docPr id="5" name="Picture 5"/>
            <wp:cNvGraphicFramePr>
              <a:graphicFrameLocks noChangeAspect="1"/>
            </wp:cNvGraphicFramePr>
            <a:graphic>
              <a:graphicData uri="http://schemas.openxmlformats.org/drawingml/2006/picture">
                <pic:pic>
                  <pic:nvPicPr>
                    <pic:cNvPr id="0" name="16_backend_services_dataflow.jpg"/>
                    <pic:cNvPicPr/>
                  </pic:nvPicPr>
                  <pic:blipFill>
                    <a:blip r:embed="rId13"/>
                    <a:stretch>
                      <a:fillRect/>
                    </a:stretch>
                  </pic:blipFill>
                  <pic:spPr>
                    <a:xfrm>
                      <a:off x="0" y="0"/>
                      <a:ext cx="5029200" cy="1282446"/>
                    </a:xfrm>
                    <a:prstGeom prst="rect"/>
                  </pic:spPr>
                </pic:pic>
              </a:graphicData>
            </a:graphic>
          </wp:inline>
        </w:drawing>
      </w:r>
    </w:p>
    <w:p>
      <w:pPr>
        <w:spacing w:after="240"/>
        <w:jc w:val="center"/>
      </w:pPr>
      <w:r>
        <w:rPr>
          <w:rFonts w:ascii="Times New Roman" w:hAnsi="Times New Roman"/>
          <w:i/>
          <w:sz w:val="20"/>
        </w:rPr>
        <w:t>Figure 19. Backend services dataflow diagram depicting the movement of data between API handlers, storage layers, and external data sources.</w:t>
      </w:r>
    </w:p>
    <w:p>
      <w:pPr>
        <w:spacing w:line="360" w:lineRule="auto"/>
        <w:ind w:firstLine="720"/>
        <w:jc w:val="both"/>
      </w:pPr>
      <w:r>
        <w:rPr>
          <w:rFonts w:ascii="Times New Roman" w:hAnsi="Times New Roman"/>
          <w:b w:val="0"/>
          <w:i w:val="0"/>
          <w:sz w:val="24"/>
        </w:rPr>
        <w:t>The application was containerized using Docker with a Python 3.11-slim base image to minimize the container footprint while providing all necessary dependencies for machine learning inference operations. The Dockerfile was structured to leverage layer caching by copying requirements.txt separately before the application code, ensuring that dependency installation is cached across builds and reducing deployment times during iterative development cycles. System dependencies including build-essential and libgomp1 were installed to support the CatBoost and LightGBM machine learning libraries, which require OpenMP for parallel tree evaluation. The trained model files were bundled directly into the container image to eliminate model loading latency during inference, with the models directory containing the CatBoost and LightGBM model artifacts for both price and consumption forecasting at a combined size of approximately 15 megabytes.</w:t>
      </w:r>
    </w:p>
    <w:p>
      <w:pPr>
        <w:jc w:val="center"/>
      </w:pPr>
      <w:r>
        <w:drawing>
          <wp:inline xmlns:a="http://schemas.openxmlformats.org/drawingml/2006/main" xmlns:pic="http://schemas.openxmlformats.org/drawingml/2006/picture">
            <wp:extent cx="5029200" cy="6083850"/>
            <wp:docPr id="6" name="Picture 6"/>
            <wp:cNvGraphicFramePr>
              <a:graphicFrameLocks noChangeAspect="1"/>
            </wp:cNvGraphicFramePr>
            <a:graphic>
              <a:graphicData uri="http://schemas.openxmlformats.org/drawingml/2006/picture">
                <pic:pic>
                  <pic:nvPicPr>
                    <pic:cNvPr id="0" name="13_hourly_forecast_generation_sequence.jpg"/>
                    <pic:cNvPicPr/>
                  </pic:nvPicPr>
                  <pic:blipFill>
                    <a:blip r:embed="rId14"/>
                    <a:stretch>
                      <a:fillRect/>
                    </a:stretch>
                  </pic:blipFill>
                  <pic:spPr>
                    <a:xfrm>
                      <a:off x="0" y="0"/>
                      <a:ext cx="5029200" cy="6083850"/>
                    </a:xfrm>
                    <a:prstGeom prst="rect"/>
                  </pic:spPr>
                </pic:pic>
              </a:graphicData>
            </a:graphic>
          </wp:inline>
        </w:drawing>
      </w:r>
    </w:p>
    <w:p>
      <w:pPr>
        <w:spacing w:after="240"/>
        <w:jc w:val="center"/>
      </w:pPr>
      <w:r>
        <w:rPr>
          <w:rFonts w:ascii="Times New Roman" w:hAnsi="Times New Roman"/>
          <w:i/>
          <w:sz w:val="20"/>
        </w:rPr>
        <w:t>Figure 20. Sequence diagram illustrating the hourly forecast generation flow triggered by Cloud Scheduler.</w:t>
      </w:r>
    </w:p>
    <w:p>
      <w:pPr>
        <w:jc w:val="center"/>
      </w:pPr>
      <w:r>
        <w:drawing>
          <wp:inline xmlns:a="http://schemas.openxmlformats.org/drawingml/2006/main" xmlns:pic="http://schemas.openxmlformats.org/drawingml/2006/picture">
            <wp:extent cx="5029200" cy="3501580"/>
            <wp:docPr id="7" name="Picture 7"/>
            <wp:cNvGraphicFramePr>
              <a:graphicFrameLocks noChangeAspect="1"/>
            </wp:cNvGraphicFramePr>
            <a:graphic>
              <a:graphicData uri="http://schemas.openxmlformats.org/drawingml/2006/picture">
                <pic:pic>
                  <pic:nvPicPr>
                    <pic:cNvPr id="0" name="03_hourly_forecast_dataflow_sequence.jpg"/>
                    <pic:cNvPicPr/>
                  </pic:nvPicPr>
                  <pic:blipFill>
                    <a:blip r:embed="rId15"/>
                    <a:stretch>
                      <a:fillRect/>
                    </a:stretch>
                  </pic:blipFill>
                  <pic:spPr>
                    <a:xfrm>
                      <a:off x="0" y="0"/>
                      <a:ext cx="5029200" cy="3501580"/>
                    </a:xfrm>
                    <a:prstGeom prst="rect"/>
                  </pic:spPr>
                </pic:pic>
              </a:graphicData>
            </a:graphic>
          </wp:inline>
        </w:drawing>
      </w:r>
    </w:p>
    <w:p>
      <w:pPr>
        <w:spacing w:after="240"/>
        <w:jc w:val="center"/>
      </w:pPr>
      <w:r>
        <w:rPr>
          <w:rFonts w:ascii="Times New Roman" w:hAnsi="Times New Roman"/>
          <w:i/>
          <w:sz w:val="20"/>
        </w:rPr>
        <w:t>Figure 21. Detailed dataflow sequence for hourly forecast generation showing data fetching, feature engineering, and prediction steps.</w:t>
      </w:r>
    </w:p>
    <w:p>
      <w:pPr>
        <w:spacing w:line="360" w:lineRule="auto"/>
        <w:ind w:firstLine="720"/>
        <w:jc w:val="both"/>
      </w:pPr>
      <w:r>
        <w:rPr>
          <w:rFonts w:ascii="Times New Roman" w:hAnsi="Times New Roman"/>
          <w:b w:val="0"/>
          <w:i w:val="0"/>
          <w:sz w:val="24"/>
        </w:rPr>
        <w:t>Google Cloud Scheduler was configured to trigger the forecast pipeline every hour by sending a POST request to the /forecast endpoint with appropriate authentication headers. Upon receiving the trigger, the ForecastPipeline class orchestrates the complete forecasting workflow through a series of coordinated steps. The pipeline first loads the latest market data from the master Parquet file stored in Google Cloud Storage, then fetches real-time EPIAS data for the most recent hours to ensure predictions incorporate the latest market conditions. Feature engineering transformations are applied to construct the input vectors required by the trained models, and 24-hour ahead forecasts are generated using both the price and consumption models. The forecast results were stored in multiple locations to optimize for different access patterns. Google Cloud Firestore was used for real-time data access, with forecasts stored under the forecasts/latest/{type}/current document path for immediate retrieval by the dashboard with sub-millisecond read latency.</w:t>
      </w:r>
    </w:p>
    <w:p>
      <w:pPr>
        <w:jc w:val="center"/>
      </w:pPr>
      <w:r>
        <w:drawing>
          <wp:inline xmlns:a="http://schemas.openxmlformats.org/drawingml/2006/main" xmlns:pic="http://schemas.openxmlformats.org/drawingml/2006/picture">
            <wp:extent cx="5029200" cy="3602164"/>
            <wp:docPr id="8" name="Picture 8"/>
            <wp:cNvGraphicFramePr>
              <a:graphicFrameLocks noChangeAspect="1"/>
            </wp:cNvGraphicFramePr>
            <a:graphic>
              <a:graphicData uri="http://schemas.openxmlformats.org/drawingml/2006/picture">
                <pic:pic>
                  <pic:nvPicPr>
                    <pic:cNvPr id="0" name="06_realtime_data_retrieval_sequence.jpg"/>
                    <pic:cNvPicPr/>
                  </pic:nvPicPr>
                  <pic:blipFill>
                    <a:blip r:embed="rId16"/>
                    <a:stretch>
                      <a:fillRect/>
                    </a:stretch>
                  </pic:blipFill>
                  <pic:spPr>
                    <a:xfrm>
                      <a:off x="0" y="0"/>
                      <a:ext cx="5029200" cy="3602164"/>
                    </a:xfrm>
                    <a:prstGeom prst="rect"/>
                  </pic:spPr>
                </pic:pic>
              </a:graphicData>
            </a:graphic>
          </wp:inline>
        </w:drawing>
      </w:r>
    </w:p>
    <w:p>
      <w:pPr>
        <w:spacing w:after="240"/>
        <w:jc w:val="center"/>
      </w:pPr>
      <w:r>
        <w:rPr>
          <w:rFonts w:ascii="Times New Roman" w:hAnsi="Times New Roman"/>
          <w:i/>
          <w:sz w:val="20"/>
        </w:rPr>
        <w:t>Figure 22. Sequence diagram for real-time data retrieval showing the interaction between frontend, API, and Firestore.</w:t>
      </w:r>
    </w:p>
    <w:p>
      <w:pPr>
        <w:jc w:val="center"/>
      </w:pPr>
      <w:r>
        <w:drawing>
          <wp:inline xmlns:a="http://schemas.openxmlformats.org/drawingml/2006/main" xmlns:pic="http://schemas.openxmlformats.org/drawingml/2006/picture">
            <wp:extent cx="5029200" cy="5818423"/>
            <wp:docPr id="9" name="Picture 9"/>
            <wp:cNvGraphicFramePr>
              <a:graphicFrameLocks noChangeAspect="1"/>
            </wp:cNvGraphicFramePr>
            <a:graphic>
              <a:graphicData uri="http://schemas.openxmlformats.org/drawingml/2006/picture">
                <pic:pic>
                  <pic:nvPicPr>
                    <pic:cNvPr id="0" name="12_multi_layer_cache_architecture_sequence.jpg"/>
                    <pic:cNvPicPr/>
                  </pic:nvPicPr>
                  <pic:blipFill>
                    <a:blip r:embed="rId17"/>
                    <a:stretch>
                      <a:fillRect/>
                    </a:stretch>
                  </pic:blipFill>
                  <pic:spPr>
                    <a:xfrm>
                      <a:off x="0" y="0"/>
                      <a:ext cx="5029200" cy="5818423"/>
                    </a:xfrm>
                    <a:prstGeom prst="rect"/>
                  </pic:spPr>
                </pic:pic>
              </a:graphicData>
            </a:graphic>
          </wp:inline>
        </w:drawing>
      </w:r>
    </w:p>
    <w:p>
      <w:pPr>
        <w:spacing w:after="240"/>
        <w:jc w:val="center"/>
      </w:pPr>
      <w:r>
        <w:rPr>
          <w:rFonts w:ascii="Times New Roman" w:hAnsi="Times New Roman"/>
          <w:i/>
          <w:sz w:val="20"/>
        </w:rPr>
        <w:t>Figure 23. Multi-layer caching architecture sequence showing cache lookup, population, and invalidation patterns.</w:t>
      </w:r>
    </w:p>
    <w:p>
      <w:pPr>
        <w:spacing w:line="360" w:lineRule="auto"/>
        <w:ind w:firstLine="720"/>
        <w:jc w:val="both"/>
      </w:pPr>
      <w:r>
        <w:rPr>
          <w:rFonts w:ascii="Times New Roman" w:hAnsi="Times New Roman"/>
          <w:b w:val="0"/>
          <w:i w:val="0"/>
          <w:sz w:val="24"/>
        </w:rPr>
        <w:t>The storage architecture followed a medallion pattern with bronze, silver, and gold data layers to ensure data quality and traceability throughout the processing pipeline. The bronze layer contained raw data fetched from EPIAS, Open-Meteo, and EVDS APIs in their original formats with timestamps recording ingestion time. The silver layer stored cleaned and validated data with standardized schemas, including null handling, outlier filtering, and timezone normalization to Europe/Istanbul. The gold layer housed the feature-engineered master dataset used for model training and inference, stored as master_v2_fundamental.parquet with a total size of approximately 52.5 megabytes containing over two years of hourly observations. Historical forecasts were archived in Parquet format organized by month using the pattern data/forecasts/{type}/{YYYY-MM}.parquet for efficient batch processing and backtesting operations. The ForecastStorage class provided abstraction over the storage layer, implementing methods for saving forecasts with automatic monthly partitioning and retrieving historical forecasts with date range filtering. Query result caching with a 30-minute time-to-live was implemented using an in-memory LRU cache to reduce redundant data fetching and improve API response times for frequently accessed endpoints such as the real-time forecast view.</w:t>
      </w:r>
    </w:p>
    <w:p>
      <w:pPr>
        <w:spacing w:line="360" w:lineRule="auto"/>
        <w:ind w:firstLine="720"/>
        <w:jc w:val="both"/>
      </w:pPr>
      <w:r>
        <w:rPr>
          <w:rFonts w:ascii="Times New Roman" w:hAnsi="Times New Roman"/>
          <w:b w:val="0"/>
          <w:i w:val="0"/>
          <w:sz w:val="24"/>
        </w:rPr>
        <w:t>For local development and testing, a Docker Compose configuration was provided that orchestrates multiple services including the scheduler, API, dashboard, MLflow for experiment tracking, and InfluxDB for optional time-series storage with retention policies. The scheduler service was configured to run the forecast pipeline at configurable intervals specified through environment variables, enabling rapid iteration on the forecasting logic without requiring cloud deployment. The MLflow service provided a web interface for tracking model experiments and comparing performance across different model versions, storing artifacts locally or in cloud storage depending on configuration. This development environment enabled rapid iteration on the forecasting models and API endpoints before deployment to the production Cloud Run environment, with environment parity ensuring consistent behavior between local and production systems.</w:t>
      </w:r>
    </w:p>
    <w:p>
      <w:pPr>
        <w:pStyle w:val="Heading2"/>
      </w:pPr>
      <w:r>
        <w:rPr>
          <w:rFonts w:ascii="Times New Roman" w:hAnsi="Times New Roman"/>
          <w:b/>
          <w:sz w:val="26"/>
        </w:rPr>
        <w:t>2.6 Frontend &amp; Dashboard</w:t>
      </w:r>
    </w:p>
    <w:p>
      <w:pPr>
        <w:spacing w:line="360" w:lineRule="auto"/>
        <w:ind w:firstLine="720"/>
        <w:jc w:val="both"/>
      </w:pPr>
      <w:r>
        <w:rPr>
          <w:rFonts w:ascii="Times New Roman" w:hAnsi="Times New Roman"/>
          <w:b w:val="0"/>
          <w:i w:val="0"/>
          <w:sz w:val="24"/>
        </w:rPr>
        <w:t>The ForeWatt dashboard was developed as a modern single-page application using React 19 with TypeScript for type safety and improved developer experience through compile-time error detection and enhanced IDE support. The build system was configured with Vite, a next-generation frontend tooling framework that provides fast hot module replacement during development with sub-second update times and optimized production builds with tree-shaking and code splitting. Styling was implemented using Tailwind CSS, a utility-first CSS framework that enabled rapid UI development with consistent design patterns through a predefined color palette and spacing scale. The dashboard was deployed on Firebase Hosting, which provides global content delivery network distribution across edge locations and automatic SSL certificate management for secure HTTPS connections.</w:t>
      </w:r>
    </w:p>
    <w:p>
      <w:pPr>
        <w:jc w:val="center"/>
      </w:pPr>
      <w:r>
        <w:drawing>
          <wp:inline xmlns:a="http://schemas.openxmlformats.org/drawingml/2006/main" xmlns:pic="http://schemas.openxmlformats.org/drawingml/2006/picture">
            <wp:extent cx="5029200" cy="1596771"/>
            <wp:docPr id="10" name="Picture 10"/>
            <wp:cNvGraphicFramePr>
              <a:graphicFrameLocks noChangeAspect="1"/>
            </wp:cNvGraphicFramePr>
            <a:graphic>
              <a:graphicData uri="http://schemas.openxmlformats.org/drawingml/2006/picture">
                <pic:pic>
                  <pic:nvPicPr>
                    <pic:cNvPr id="0" name="01_react_frontend_architecture.jpg"/>
                    <pic:cNvPicPr/>
                  </pic:nvPicPr>
                  <pic:blipFill>
                    <a:blip r:embed="rId18"/>
                    <a:stretch>
                      <a:fillRect/>
                    </a:stretch>
                  </pic:blipFill>
                  <pic:spPr>
                    <a:xfrm>
                      <a:off x="0" y="0"/>
                      <a:ext cx="5029200" cy="1596771"/>
                    </a:xfrm>
                    <a:prstGeom prst="rect"/>
                  </pic:spPr>
                </pic:pic>
              </a:graphicData>
            </a:graphic>
          </wp:inline>
        </w:drawing>
      </w:r>
    </w:p>
    <w:p>
      <w:pPr>
        <w:spacing w:after="240"/>
        <w:jc w:val="center"/>
      </w:pPr>
      <w:r>
        <w:rPr>
          <w:rFonts w:ascii="Times New Roman" w:hAnsi="Times New Roman"/>
          <w:i/>
          <w:sz w:val="20"/>
        </w:rPr>
        <w:t>Figure 24. React frontend architecture showing the component hierarchy, context providers, and data flow patterns.</w:t>
      </w:r>
    </w:p>
    <w:p>
      <w:pPr>
        <w:spacing w:line="360" w:lineRule="auto"/>
        <w:ind w:firstLine="720"/>
        <w:jc w:val="both"/>
      </w:pPr>
      <w:r>
        <w:rPr>
          <w:rFonts w:ascii="Times New Roman" w:hAnsi="Times New Roman"/>
          <w:b w:val="0"/>
          <w:i w:val="0"/>
          <w:sz w:val="24"/>
        </w:rPr>
        <w:t>The Home view serves as the landing page of the ForeWatt dashboard, presenting users with a clean interface for selecting between the consumption and price forecasting models. Two prominently displayed cards provide model selection functionality, each featuring an icon representing the model type, a description of the forecasting capability, and the current best performance metric displayed in a highlighted section. The consumption model card displays the Mean Absolute Error of 892 MWh, while the price model card shows the corresponding MAE of 78.5 TL/MWh. Upon selection, users are automatically navigated to the RealTime view with the selected model pre-configured, streamlining the workflow for users who wish to immediately view current forecasts. The view was designed with responsive layouts that adapt to screen sizes ranging from mobile devices to large desktop monitors, with the two model cards transitioning from a stacked vertical arrangement on mobile to a side-by-side horizontal layout on larger screens.</w:t>
      </w:r>
    </w:p>
    <w:p>
      <w:pPr>
        <w:spacing w:line="360" w:lineRule="auto"/>
        <w:ind w:firstLine="720"/>
        <w:jc w:val="both"/>
      </w:pPr>
      <w:r>
        <w:rPr>
          <w:rFonts w:ascii="Times New Roman" w:hAnsi="Times New Roman"/>
          <w:b w:val="0"/>
          <w:i w:val="0"/>
          <w:sz w:val="24"/>
        </w:rPr>
        <w:t>The RealTime view constitutes the primary interface for monitoring current forecasts, displaying a 24-hour horizon that combines 12 hours of historical actual data from EPIAS with 12 hours of model predictions. The view opens with an AI-generated insight card at the top, providing a natural language summary of current market conditions and notable forecast patterns generated through integration with the Gemini language model. Four key performance indicator cards display summary statistics including average actual value, average forecast value, peak actual with timestamp, and peak forecast with timestamp, enabling rapid assessment of demand levels and timing of peak events. The main interactive chart renders actual data as solid lines and forecast data as dashed lines, with a pivot marker clearly indicating the transition point between historical actuals and predictions. Confidence interval bands were rendered using stacked area series with semi-transparent fills and dashed border lines at the upper and lower bounds, which can be toggled on or off through a control switch. A tabular data section below the chart presents the same information in a sortable table format with columns for timestamp, data type, value, and confidence interval bounds, with options to copy data to clipboard or export as CSV format.</w:t>
      </w:r>
    </w:p>
    <w:p>
      <w:pPr>
        <w:jc w:val="center"/>
      </w:pPr>
      <w:r>
        <w:drawing>
          <wp:inline xmlns:a="http://schemas.openxmlformats.org/drawingml/2006/main" xmlns:pic="http://schemas.openxmlformats.org/drawingml/2006/picture">
            <wp:extent cx="5029200" cy="2467451"/>
            <wp:docPr id="11" name="Picture 11"/>
            <wp:cNvGraphicFramePr>
              <a:graphicFrameLocks noChangeAspect="1"/>
            </wp:cNvGraphicFramePr>
            <a:graphic>
              <a:graphicData uri="http://schemas.openxmlformats.org/drawingml/2006/picture">
                <pic:pic>
                  <pic:nvPicPr>
                    <pic:cNvPr id="0" name="01_realtime_consumption_forecast.png"/>
                    <pic:cNvPicPr/>
                  </pic:nvPicPr>
                  <pic:blipFill>
                    <a:blip r:embed="rId19"/>
                    <a:stretch>
                      <a:fillRect/>
                    </a:stretch>
                  </pic:blipFill>
                  <pic:spPr>
                    <a:xfrm>
                      <a:off x="0" y="0"/>
                      <a:ext cx="5029200" cy="2467451"/>
                    </a:xfrm>
                    <a:prstGeom prst="rect"/>
                  </pic:spPr>
                </pic:pic>
              </a:graphicData>
            </a:graphic>
          </wp:inline>
        </w:drawing>
      </w:r>
    </w:p>
    <w:p>
      <w:pPr>
        <w:spacing w:after="240"/>
        <w:jc w:val="center"/>
      </w:pPr>
      <w:r>
        <w:rPr>
          <w:rFonts w:ascii="Times New Roman" w:hAnsi="Times New Roman"/>
          <w:i/>
          <w:sz w:val="20"/>
        </w:rPr>
        <w:t>Figure 25. Real-time consumption forecast view showing the 24-hour horizon with actual data, predictions, and confidence intervals.</w:t>
      </w:r>
    </w:p>
    <w:p>
      <w:pPr>
        <w:spacing w:line="360" w:lineRule="auto"/>
        <w:ind w:firstLine="720"/>
        <w:jc w:val="both"/>
      </w:pPr>
      <w:r>
        <w:rPr>
          <w:rFonts w:ascii="Times New Roman" w:hAnsi="Times New Roman"/>
          <w:b w:val="0"/>
          <w:i w:val="0"/>
          <w:sz w:val="24"/>
        </w:rPr>
        <w:t>The Historical view enables exploration of past data with customizable date range selection, supporting both preset ranges and custom date inputs. Preset range options include Latest 3 Days, Latest 7 Days, Latest 15 Days, Latest 1 Month, Latest 3 Months, Latest 6 Months, and Latest 1 Year, with the default selection set to 7 days for optimal initial loading performance. Custom range selection was implemented through datetime-local input fields that allow users to specify precise start and end timestamps down to the minute level. The main visualization displays actual EPIAS data as solid lines and model forecasts as dashed lines, with toggle controls enabling users to show or hide either series independently for focused analysis. Summary statistics cards display key metrics including minimum, maximum, mean, standard deviation, and count for the selected period. Two supplementary charts provide additional analytical perspectives: an hourly patterns bar chart showing average values grouped by hour of day to reveal diurnal consumption cycles, and a value distribution histogram showing the frequency distribution of values with percentile markers at P25, P50, and P75 positions.</w:t>
      </w:r>
    </w:p>
    <w:p>
      <w:pPr>
        <w:jc w:val="center"/>
      </w:pPr>
      <w:r>
        <w:drawing>
          <wp:inline xmlns:a="http://schemas.openxmlformats.org/drawingml/2006/main" xmlns:pic="http://schemas.openxmlformats.org/drawingml/2006/picture">
            <wp:extent cx="5029200" cy="2880003"/>
            <wp:docPr id="12" name="Picture 12"/>
            <wp:cNvGraphicFramePr>
              <a:graphicFrameLocks noChangeAspect="1"/>
            </wp:cNvGraphicFramePr>
            <a:graphic>
              <a:graphicData uri="http://schemas.openxmlformats.org/drawingml/2006/picture">
                <pic:pic>
                  <pic:nvPicPr>
                    <pic:cNvPr id="0" name="02_historical_analysis_consumption.png"/>
                    <pic:cNvPicPr/>
                  </pic:nvPicPr>
                  <pic:blipFill>
                    <a:blip r:embed="rId20"/>
                    <a:stretch>
                      <a:fillRect/>
                    </a:stretch>
                  </pic:blipFill>
                  <pic:spPr>
                    <a:xfrm>
                      <a:off x="0" y="0"/>
                      <a:ext cx="5029200" cy="2880003"/>
                    </a:xfrm>
                    <a:prstGeom prst="rect"/>
                  </pic:spPr>
                </pic:pic>
              </a:graphicData>
            </a:graphic>
          </wp:inline>
        </w:drawing>
      </w:r>
    </w:p>
    <w:p>
      <w:pPr>
        <w:spacing w:after="240"/>
        <w:jc w:val="center"/>
      </w:pPr>
      <w:r>
        <w:rPr>
          <w:rFonts w:ascii="Times New Roman" w:hAnsi="Times New Roman"/>
          <w:i/>
          <w:sz w:val="20"/>
        </w:rPr>
        <w:t>Figure 26. Historical analysis view displaying consumption data over a selected time period with actual versus forecast comparison.</w:t>
      </w:r>
    </w:p>
    <w:p>
      <w:pPr>
        <w:spacing w:line="360" w:lineRule="auto"/>
        <w:ind w:firstLine="720"/>
        <w:jc w:val="both"/>
      </w:pPr>
      <w:r>
        <w:rPr>
          <w:rFonts w:ascii="Times New Roman" w:hAnsi="Times New Roman"/>
          <w:b w:val="0"/>
          <w:i w:val="0"/>
          <w:sz w:val="24"/>
        </w:rPr>
        <w:t>The Anomaly view presents statistical anomaly detection results for monitoring unusual patterns in electricity consumption and price data. The detection algorithm employs a configurable sigma threshold approach where data points exceeding the mean by more than the specified number of standard deviations are flagged as anomalies. Users can adjust the sensitivity through a dropdown selector offering 1.5x (high sensitivity), 2x (normal), 2.5x (low sensitivity), and 3x (very low) threshold options, enabling adaptation to different operational contexts and tolerance for false positives. Summary cards display the anomaly rate as a percentage, total anomaly count, maximum deviation observed in sigma units, and total data points analyzed. The main visualization renders a time series line chart with the actual data and horizontal dashed lines indicating the upper and lower bounds, while detected anomalies are highlighted as prominent scatter points with red coloring and shadow effects for visibility. A sidebar panel lists the top anomalies ranked by deviation magnitude, showing the timestamp, value, and sigma multiple for each detected event to facilitate investigation of specific incidents.</w:t>
      </w:r>
    </w:p>
    <w:p>
      <w:pPr>
        <w:jc w:val="center"/>
      </w:pPr>
      <w:r>
        <w:drawing>
          <wp:inline xmlns:a="http://schemas.openxmlformats.org/drawingml/2006/main" xmlns:pic="http://schemas.openxmlformats.org/drawingml/2006/picture">
            <wp:extent cx="5029200" cy="2577465"/>
            <wp:docPr id="13" name="Picture 13"/>
            <wp:cNvGraphicFramePr>
              <a:graphicFrameLocks noChangeAspect="1"/>
            </wp:cNvGraphicFramePr>
            <a:graphic>
              <a:graphicData uri="http://schemas.openxmlformats.org/drawingml/2006/picture">
                <pic:pic>
                  <pic:nvPicPr>
                    <pic:cNvPr id="0" name="03_anomaly_monitor_consumption.png"/>
                    <pic:cNvPicPr/>
                  </pic:nvPicPr>
                  <pic:blipFill>
                    <a:blip r:embed="rId21"/>
                    <a:stretch>
                      <a:fillRect/>
                    </a:stretch>
                  </pic:blipFill>
                  <pic:spPr>
                    <a:xfrm>
                      <a:off x="0" y="0"/>
                      <a:ext cx="5029200" cy="2577465"/>
                    </a:xfrm>
                    <a:prstGeom prst="rect"/>
                  </pic:spPr>
                </pic:pic>
              </a:graphicData>
            </a:graphic>
          </wp:inline>
        </w:drawing>
      </w:r>
    </w:p>
    <w:p>
      <w:pPr>
        <w:spacing w:after="240"/>
        <w:jc w:val="center"/>
      </w:pPr>
      <w:r>
        <w:rPr>
          <w:rFonts w:ascii="Times New Roman" w:hAnsi="Times New Roman"/>
          <w:i/>
          <w:sz w:val="20"/>
        </w:rPr>
        <w:t>Figure 27. Anomaly detection view displaying statistical anomalies in consumption data with configurable sensitivity threshold.</w:t>
      </w:r>
    </w:p>
    <w:p>
      <w:pPr>
        <w:spacing w:line="360" w:lineRule="auto"/>
        <w:ind w:firstLine="720"/>
        <w:jc w:val="both"/>
      </w:pPr>
      <w:r>
        <w:rPr>
          <w:rFonts w:ascii="Times New Roman" w:hAnsi="Times New Roman"/>
          <w:b w:val="0"/>
          <w:i w:val="0"/>
          <w:sz w:val="24"/>
        </w:rPr>
        <w:t>The Compare view facilitates period-over-period analysis through overlaid time series visualizations that enable identification of trends and pattern changes between comparable time periods. Three comparison presets were implemented: Day-over-Day comparing today versus yesterday, Week-over-Week comparing the current week against the previous week, and Month-over-Month comparing the current month against the prior month. Metric cards display comparative statistics including mean difference, peak difference, and volatility measurements for both periods, with percentage change indicators highlighting increases or decreases. The main overlay chart renders both time series on aligned axes, with the current period shown as a solid line with area fill and the comparison period as a dashed line without fill for visual distinction. A secondary day-type comparison chart compares weekday versus weekend consumption profiles using hourly average data, displaying the percentage difference between weekday and weekend means to quantify the day-type effect on demand patterns. A statistics summary table provides side-by-side comparison of minimum, maximum, and standard deviation values for both periods with calculated percentage differences.</w:t>
      </w:r>
    </w:p>
    <w:p>
      <w:pPr>
        <w:jc w:val="center"/>
      </w:pPr>
      <w:r>
        <w:drawing>
          <wp:inline xmlns:a="http://schemas.openxmlformats.org/drawingml/2006/main" xmlns:pic="http://schemas.openxmlformats.org/drawingml/2006/picture">
            <wp:extent cx="5029200" cy="2813209"/>
            <wp:docPr id="14" name="Picture 14"/>
            <wp:cNvGraphicFramePr>
              <a:graphicFrameLocks noChangeAspect="1"/>
            </wp:cNvGraphicFramePr>
            <a:graphic>
              <a:graphicData uri="http://schemas.openxmlformats.org/drawingml/2006/picture">
                <pic:pic>
                  <pic:nvPicPr>
                    <pic:cNvPr id="0" name="04_compare_periods_week_over_week.png"/>
                    <pic:cNvPicPr/>
                  </pic:nvPicPr>
                  <pic:blipFill>
                    <a:blip r:embed="rId22"/>
                    <a:stretch>
                      <a:fillRect/>
                    </a:stretch>
                  </pic:blipFill>
                  <pic:spPr>
                    <a:xfrm>
                      <a:off x="0" y="0"/>
                      <a:ext cx="5029200" cy="2813209"/>
                    </a:xfrm>
                    <a:prstGeom prst="rect"/>
                  </pic:spPr>
                </pic:pic>
              </a:graphicData>
            </a:graphic>
          </wp:inline>
        </w:drawing>
      </w:r>
    </w:p>
    <w:p>
      <w:pPr>
        <w:spacing w:after="240"/>
        <w:jc w:val="center"/>
      </w:pPr>
      <w:r>
        <w:rPr>
          <w:rFonts w:ascii="Times New Roman" w:hAnsi="Times New Roman"/>
          <w:i/>
          <w:sz w:val="20"/>
        </w:rPr>
        <w:t>Figure 28. Period comparison view showing week-over-week analysis with overlay charts and comparative statistics.</w:t>
      </w:r>
    </w:p>
    <w:p>
      <w:pPr>
        <w:spacing w:line="360" w:lineRule="auto"/>
        <w:ind w:firstLine="720"/>
        <w:jc w:val="both"/>
      </w:pPr>
      <w:r>
        <w:rPr>
          <w:rFonts w:ascii="Times New Roman" w:hAnsi="Times New Roman"/>
          <w:b w:val="0"/>
          <w:i w:val="0"/>
          <w:sz w:val="24"/>
        </w:rPr>
        <w:t>The Alerts view provides a comprehensive management interface for configuring threshold-based alerts on forecast values, enabling proactive notification when predicted or actual values exceed operational limits. The configuration tab displays alert rules as cards, each containing the alert title, description, severity level (critical, warning, or info), enable/disable toggle, and editable threshold value with associated unit and comparison direction. Four default alert configurations were provided: Price Spike Alert triggering when PTF price exceeds 2200 TL/MWh, Negative/Low Price Alert triggering below 100 TL/MWh, Demand Surge Alert triggering above 48000 MWh consumption, and Low Consumption Alert triggering below 25000 MWh. Threshold values can be edited inline by clicking on the value and entering a new number, with save and cancel controls appearing for confirmation. The severity indicator is displayed as a colored badge with appropriate styling for critical (red), warning (amber), and info (blue) levels. Access to the Alerts view was restricted to administrator users through role-based access control implemented in the AuthContext provider.</w:t>
      </w:r>
    </w:p>
    <w:p>
      <w:pPr>
        <w:jc w:val="center"/>
      </w:pPr>
      <w:r>
        <w:drawing>
          <wp:inline xmlns:a="http://schemas.openxmlformats.org/drawingml/2006/main" xmlns:pic="http://schemas.openxmlformats.org/drawingml/2006/picture">
            <wp:extent cx="5029200" cy="2907506"/>
            <wp:docPr id="15" name="Picture 15"/>
            <wp:cNvGraphicFramePr>
              <a:graphicFrameLocks noChangeAspect="1"/>
            </wp:cNvGraphicFramePr>
            <a:graphic>
              <a:graphicData uri="http://schemas.openxmlformats.org/drawingml/2006/picture">
                <pic:pic>
                  <pic:nvPicPr>
                    <pic:cNvPr id="0" name="05_alerts_configuration.png"/>
                    <pic:cNvPicPr/>
                  </pic:nvPicPr>
                  <pic:blipFill>
                    <a:blip r:embed="rId23"/>
                    <a:stretch>
                      <a:fillRect/>
                    </a:stretch>
                  </pic:blipFill>
                  <pic:spPr>
                    <a:xfrm>
                      <a:off x="0" y="0"/>
                      <a:ext cx="5029200" cy="2907506"/>
                    </a:xfrm>
                    <a:prstGeom prst="rect"/>
                  </pic:spPr>
                </pic:pic>
              </a:graphicData>
            </a:graphic>
          </wp:inline>
        </w:drawing>
      </w:r>
    </w:p>
    <w:p>
      <w:pPr>
        <w:spacing w:after="240"/>
        <w:jc w:val="center"/>
      </w:pPr>
      <w:r>
        <w:rPr>
          <w:rFonts w:ascii="Times New Roman" w:hAnsi="Times New Roman"/>
          <w:i/>
          <w:sz w:val="20"/>
        </w:rPr>
        <w:t>Figure 29. Alert configuration view showing threshold settings for price and consumption alerts with severity levels.</w:t>
      </w:r>
    </w:p>
    <w:p>
      <w:pPr>
        <w:spacing w:line="360" w:lineRule="auto"/>
        <w:ind w:firstLine="720"/>
        <w:jc w:val="both"/>
      </w:pPr>
      <w:r>
        <w:rPr>
          <w:rFonts w:ascii="Times New Roman" w:hAnsi="Times New Roman"/>
          <w:b w:val="0"/>
          <w:i w:val="0"/>
          <w:sz w:val="24"/>
        </w:rPr>
        <w:t>The Alerts History tab provides a chronological log of triggered alerts, enabling operators to review past events and track system performance over time. Each alert entry displays the alert title, detailed message describing the trigger condition, severity badge, alert type classification, and timestamp in localized format. Unread alerts are visually distinguished with a subtle background highlight and an animated pulse indicator, ensuring new events are immediately noticeable. Action buttons allow users to mark individual alerts as read or delete them from the history log. A refresh button triggers re-evaluation of current data against configured thresholds to identify any new alerts that should be generated. The data status indicator shows the timestamp of the most recent data against which alerts were checked, providing transparency about the currency of alert evaluations. When no alerts have been triggered, a success state is displayed with a checkmark icon and reassuring message indicating all systems are operating within normal parameters.</w:t>
      </w:r>
    </w:p>
    <w:p>
      <w:pPr>
        <w:jc w:val="center"/>
      </w:pPr>
      <w:r>
        <w:drawing>
          <wp:inline xmlns:a="http://schemas.openxmlformats.org/drawingml/2006/main" xmlns:pic="http://schemas.openxmlformats.org/drawingml/2006/picture">
            <wp:extent cx="5029200" cy="2546032"/>
            <wp:docPr id="16" name="Picture 16"/>
            <wp:cNvGraphicFramePr>
              <a:graphicFrameLocks noChangeAspect="1"/>
            </wp:cNvGraphicFramePr>
            <a:graphic>
              <a:graphicData uri="http://schemas.openxmlformats.org/drawingml/2006/picture">
                <pic:pic>
                  <pic:nvPicPr>
                    <pic:cNvPr id="0" name="06_alerts_history.png"/>
                    <pic:cNvPicPr/>
                  </pic:nvPicPr>
                  <pic:blipFill>
                    <a:blip r:embed="rId24"/>
                    <a:stretch>
                      <a:fillRect/>
                    </a:stretch>
                  </pic:blipFill>
                  <pic:spPr>
                    <a:xfrm>
                      <a:off x="0" y="0"/>
                      <a:ext cx="5029200" cy="2546032"/>
                    </a:xfrm>
                    <a:prstGeom prst="rect"/>
                  </pic:spPr>
                </pic:pic>
              </a:graphicData>
            </a:graphic>
          </wp:inline>
        </w:drawing>
      </w:r>
    </w:p>
    <w:p>
      <w:pPr>
        <w:spacing w:after="240"/>
        <w:jc w:val="center"/>
      </w:pPr>
      <w:r>
        <w:rPr>
          <w:rFonts w:ascii="Times New Roman" w:hAnsi="Times New Roman"/>
          <w:i/>
          <w:sz w:val="20"/>
        </w:rPr>
        <w:t>Figure 30. Alert history view displaying a log of triggered alerts with status tracking and management controls.</w:t>
      </w:r>
    </w:p>
    <w:p>
      <w:pPr>
        <w:spacing w:line="360" w:lineRule="auto"/>
        <w:ind w:firstLine="720"/>
        <w:jc w:val="both"/>
      </w:pPr>
      <w:r>
        <w:rPr>
          <w:rFonts w:ascii="Times New Roman" w:hAnsi="Times New Roman"/>
          <w:b w:val="0"/>
          <w:i w:val="0"/>
          <w:sz w:val="24"/>
        </w:rPr>
        <w:t>An AI-powered chatbot was integrated into the dashboard using the Google Gemini 2.0 Flash model through the @google/genai SDK, providing natural language interaction capabilities for data exploration and insight generation. The chatbot was configured with a domain-specific system prompt that establishes context about the ForeWatt platform, EPIAS data characteristics, typical electricity consumption patterns in Turkey, and the structure of available forecast data. When the chat session is initiated through the header button, current dashboard context including the active model type, latest actual values, forecast predictions, and summary statistics is automatically injected into the conversation to enable contextual responses that reference the specific data currently being viewed. The chatbot interface supports markdown rendering with syntax-highlighted code blocks through the react-markdown library with remark-gfm plugin for GitHub Flavored Markdown support, enabling formatted responses with tables, lists, and code examples. The chat panel can be expanded to full-screen mode for extended conversations, and a fallback mock response system was implemented to provide basic functionality when the Gemini API key is not configured in the environment.</w:t>
      </w:r>
    </w:p>
    <w:p>
      <w:pPr>
        <w:jc w:val="center"/>
      </w:pPr>
      <w:r>
        <w:drawing>
          <wp:inline xmlns:a="http://schemas.openxmlformats.org/drawingml/2006/main" xmlns:pic="http://schemas.openxmlformats.org/drawingml/2006/picture">
            <wp:extent cx="5029200" cy="3434001"/>
            <wp:docPr id="17" name="Picture 17"/>
            <wp:cNvGraphicFramePr>
              <a:graphicFrameLocks noChangeAspect="1"/>
            </wp:cNvGraphicFramePr>
            <a:graphic>
              <a:graphicData uri="http://schemas.openxmlformats.org/drawingml/2006/picture">
                <pic:pic>
                  <pic:nvPicPr>
                    <pic:cNvPr id="0" name="07_realtime_price_forecast_with_ai_chatbot.png"/>
                    <pic:cNvPicPr/>
                  </pic:nvPicPr>
                  <pic:blipFill>
                    <a:blip r:embed="rId25"/>
                    <a:stretch>
                      <a:fillRect/>
                    </a:stretch>
                  </pic:blipFill>
                  <pic:spPr>
                    <a:xfrm>
                      <a:off x="0" y="0"/>
                      <a:ext cx="5029200" cy="3434001"/>
                    </a:xfrm>
                    <a:prstGeom prst="rect"/>
                  </pic:spPr>
                </pic:pic>
              </a:graphicData>
            </a:graphic>
          </wp:inline>
        </w:drawing>
      </w:r>
    </w:p>
    <w:p>
      <w:pPr>
        <w:spacing w:after="240"/>
        <w:jc w:val="center"/>
      </w:pPr>
      <w:r>
        <w:rPr>
          <w:rFonts w:ascii="Times New Roman" w:hAnsi="Times New Roman"/>
          <w:i/>
          <w:sz w:val="20"/>
        </w:rPr>
        <w:t>Figure 31. Real-time price forecast view with the AI chatbot panel open, demonstrating contextual conversation capabilities.</w:t>
      </w:r>
    </w:p>
    <w:p>
      <w:pPr>
        <w:spacing w:line="360" w:lineRule="auto"/>
        <w:ind w:firstLine="720"/>
        <w:jc w:val="both"/>
      </w:pPr>
      <w:r>
        <w:rPr>
          <w:rFonts w:ascii="Times New Roman" w:hAnsi="Times New Roman"/>
          <w:b w:val="0"/>
          <w:i w:val="0"/>
          <w:sz w:val="24"/>
        </w:rPr>
        <w:t>The user interface was designed with a glassmorphism aesthetic featuring semi-transparent panels with backdrop blur effects, providing a modern and professional appearance that differentiates ForeWatt from conventional data dashboards. A theme toggle was implemented to support both dark and light modes, with the dark mode set as the default for reduced eye strain during extended monitoring sessions in control room environments. Bilingual support was provided through a LanguageContext provider that manages translations between English and Turkish, enabling seamless language switching without page reload through React context-based state management. The interface was designed to be fully responsive, adapting layouts for desktop, tablet, and mobile screen sizes through Tailwind CSS responsive utility classes with breakpoints at 640px, 768px, 1024px, and 1280px.</w:t>
      </w:r>
    </w:p>
    <w:p>
      <w:pPr>
        <w:spacing w:line="360" w:lineRule="auto"/>
        <w:ind w:firstLine="720"/>
        <w:jc w:val="both"/>
      </w:pPr>
      <w:r>
        <w:rPr>
          <w:rFonts w:ascii="Times New Roman" w:hAnsi="Times New Roman"/>
          <w:b w:val="0"/>
          <w:i w:val="0"/>
          <w:sz w:val="24"/>
        </w:rPr>
        <w:t>Data visualization was implemented using ECharts, a powerful charting library that provides interactive features including zooming, panning, data point tooltips, and chart export capabilities through its built-in toolbox. The RealTimeChart component renders actual data as solid lines and forecast data as dashed lines, with a pivot marker indicating the transition point between historical actuals and predictions at the T-2h boundary accounting for EPIAS data publication delay. Confidence interval bands were rendered using stacked area series with semi-transparent fills and dashed border lines at the upper and lower confidence bounds. The charts automatically adapt to theme changes through a MutationObserver that monitors the document's dark mode class and reinitializes charts with appropriate color schemes when the theme toggles. State management was handled through React hooks with Context providers for global state including authentication status through AuthContext, language preferences through LanguageContext, and real-time data through prop drilling from the App component. API data fetching was implemented with automatic refresh intervals of 60 seconds to keep the real-time view updated with the latest forecast data from the backend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