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B0D2F">
      <w:pPr>
        <w:spacing w:line="502" w:lineRule="exact"/>
        <w:rPr>
          <w:rFonts w:ascii="Times New Roman Regular" w:hAnsi="Times New Roman Regular" w:eastAsia="仿宋"/>
          <w:b/>
          <w:sz w:val="28"/>
          <w:szCs w:val="28"/>
        </w:rPr>
      </w:pPr>
    </w:p>
    <w:p w14:paraId="2D645A8F">
      <w:pPr>
        <w:widowControl/>
        <w:tabs>
          <w:tab w:val="left" w:pos="377"/>
        </w:tabs>
        <w:spacing w:line="360" w:lineRule="exact"/>
        <w:ind w:left="210" w:leftChars="100"/>
        <w:jc w:val="center"/>
        <w:rPr>
          <w:rFonts w:ascii="Times New Roman Regular" w:hAnsi="Times New Roman Regular"/>
          <w:kern w:val="0"/>
          <w:sz w:val="24"/>
          <w:szCs w:val="21"/>
        </w:rPr>
      </w:pPr>
    </w:p>
    <w:p w14:paraId="53004D77">
      <w:pPr>
        <w:widowControl/>
        <w:tabs>
          <w:tab w:val="left" w:pos="377"/>
        </w:tabs>
        <w:spacing w:line="300" w:lineRule="auto"/>
        <w:ind w:left="210" w:leftChars="100"/>
        <w:jc w:val="center"/>
        <w:rPr>
          <w:rFonts w:ascii="Times New Roman Regular" w:hAnsi="Times New Roman Regular"/>
          <w:kern w:val="0"/>
          <w:sz w:val="24"/>
          <w:szCs w:val="21"/>
        </w:rPr>
      </w:pPr>
      <w:r>
        <w:rPr>
          <w:rFonts w:hint="eastAsia" w:ascii="Times New Roman Regular" w:hAnsi="Times New Roman Regular"/>
          <w:kern w:val="0"/>
          <w:sz w:val="24"/>
          <w:szCs w:val="21"/>
        </w:rPr>
        <w:drawing>
          <wp:inline distT="0" distB="0" distL="0" distR="0">
            <wp:extent cx="3524250" cy="6000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524250" cy="600075"/>
                    </a:xfrm>
                    <a:prstGeom prst="rect">
                      <a:avLst/>
                    </a:prstGeom>
                    <a:noFill/>
                    <a:ln>
                      <a:noFill/>
                    </a:ln>
                  </pic:spPr>
                </pic:pic>
              </a:graphicData>
            </a:graphic>
          </wp:inline>
        </w:drawing>
      </w:r>
    </w:p>
    <w:p w14:paraId="03E4F8A8">
      <w:pPr>
        <w:widowControl/>
        <w:tabs>
          <w:tab w:val="left" w:pos="377"/>
        </w:tabs>
        <w:spacing w:line="300" w:lineRule="auto"/>
        <w:ind w:left="210" w:leftChars="100"/>
        <w:jc w:val="center"/>
        <w:rPr>
          <w:rFonts w:ascii="Times New Roman Regular" w:hAnsi="Times New Roman Regular"/>
          <w:kern w:val="0"/>
          <w:sz w:val="30"/>
          <w:szCs w:val="30"/>
        </w:rPr>
      </w:pPr>
    </w:p>
    <w:p w14:paraId="3CE1CDC5">
      <w:pPr>
        <w:widowControl/>
        <w:tabs>
          <w:tab w:val="left" w:pos="377"/>
        </w:tabs>
        <w:spacing w:line="300" w:lineRule="auto"/>
        <w:ind w:left="210" w:leftChars="100"/>
        <w:jc w:val="center"/>
        <w:rPr>
          <w:rFonts w:ascii="Times New Roman Regular" w:hAnsi="Times New Roman Regular"/>
          <w:kern w:val="0"/>
          <w:sz w:val="30"/>
          <w:szCs w:val="30"/>
        </w:rPr>
      </w:pPr>
    </w:p>
    <w:p w14:paraId="478EC255">
      <w:pPr>
        <w:keepNext/>
        <w:keepLines/>
        <w:widowControl/>
        <w:tabs>
          <w:tab w:val="left" w:pos="377"/>
        </w:tabs>
        <w:spacing w:after="220" w:line="360" w:lineRule="auto"/>
        <w:jc w:val="center"/>
        <w:outlineLvl w:val="0"/>
        <w:rPr>
          <w:rFonts w:ascii="Times New Roman Regular" w:hAnsi="Times New Roman Regular" w:eastAsia="黑体"/>
          <w:bCs/>
          <w:kern w:val="44"/>
          <w:sz w:val="44"/>
          <w:szCs w:val="44"/>
        </w:rPr>
      </w:pPr>
      <w:r>
        <w:rPr>
          <w:rFonts w:hint="eastAsia" w:ascii="Times New Roman Regular" w:hAnsi="Times New Roman Regular" w:eastAsia="黑体"/>
          <w:bCs/>
          <w:kern w:val="44"/>
          <w:sz w:val="44"/>
          <w:szCs w:val="44"/>
        </w:rPr>
        <w:t>毕业论文（设计）开题报告</w:t>
      </w:r>
    </w:p>
    <w:p w14:paraId="078ED616">
      <w:pPr>
        <w:widowControl/>
        <w:tabs>
          <w:tab w:val="left" w:pos="377"/>
        </w:tabs>
        <w:spacing w:line="360" w:lineRule="exact"/>
        <w:ind w:left="210" w:leftChars="100"/>
        <w:jc w:val="center"/>
        <w:rPr>
          <w:rFonts w:ascii="Times New Roman Regular" w:hAnsi="Times New Roman Regular"/>
          <w:kern w:val="0"/>
          <w:sz w:val="24"/>
          <w:szCs w:val="21"/>
        </w:rPr>
      </w:pPr>
    </w:p>
    <w:p w14:paraId="1BF5B7BB">
      <w:pPr>
        <w:widowControl/>
        <w:tabs>
          <w:tab w:val="left" w:pos="377"/>
        </w:tabs>
        <w:spacing w:line="360" w:lineRule="exact"/>
        <w:ind w:left="210" w:leftChars="100"/>
        <w:jc w:val="center"/>
        <w:rPr>
          <w:rFonts w:ascii="Times New Roman Regular" w:hAnsi="Times New Roman Regular"/>
          <w:kern w:val="0"/>
          <w:sz w:val="24"/>
          <w:szCs w:val="21"/>
        </w:rPr>
      </w:pPr>
    </w:p>
    <w:p w14:paraId="3C6AC82C">
      <w:pPr>
        <w:widowControl/>
        <w:tabs>
          <w:tab w:val="left" w:pos="377"/>
        </w:tabs>
        <w:spacing w:line="360" w:lineRule="exact"/>
        <w:ind w:left="210" w:leftChars="100"/>
        <w:jc w:val="center"/>
        <w:rPr>
          <w:rFonts w:ascii="Times New Roman Regular" w:hAnsi="Times New Roman Regular"/>
          <w:kern w:val="0"/>
          <w:sz w:val="24"/>
          <w:szCs w:val="21"/>
        </w:rPr>
      </w:pPr>
    </w:p>
    <w:p w14:paraId="7E40BFFD">
      <w:pPr>
        <w:widowControl/>
        <w:tabs>
          <w:tab w:val="left" w:pos="377"/>
        </w:tabs>
        <w:spacing w:line="360" w:lineRule="exact"/>
        <w:ind w:left="210" w:leftChars="100"/>
        <w:jc w:val="center"/>
        <w:rPr>
          <w:rFonts w:ascii="Times New Roman Regular" w:hAnsi="Times New Roman Regular"/>
          <w:kern w:val="0"/>
          <w:sz w:val="24"/>
          <w:szCs w:val="21"/>
        </w:rPr>
      </w:pPr>
    </w:p>
    <w:p w14:paraId="633AC20E">
      <w:pPr>
        <w:widowControl/>
        <w:tabs>
          <w:tab w:val="left" w:pos="377"/>
        </w:tabs>
        <w:spacing w:line="360" w:lineRule="exact"/>
        <w:ind w:left="210" w:leftChars="100"/>
        <w:jc w:val="center"/>
        <w:rPr>
          <w:rFonts w:ascii="Times New Roman Regular" w:hAnsi="Times New Roman Regular"/>
          <w:kern w:val="0"/>
          <w:sz w:val="24"/>
          <w:szCs w:val="21"/>
        </w:rPr>
      </w:pPr>
    </w:p>
    <w:p w14:paraId="5B9C311A">
      <w:pPr>
        <w:widowControl/>
        <w:tabs>
          <w:tab w:val="left" w:pos="377"/>
        </w:tabs>
        <w:spacing w:line="360" w:lineRule="exact"/>
        <w:ind w:left="210" w:leftChars="100"/>
        <w:jc w:val="center"/>
        <w:rPr>
          <w:rFonts w:ascii="Times New Roman Regular" w:hAnsi="Times New Roman Regular"/>
          <w:kern w:val="0"/>
          <w:sz w:val="24"/>
          <w:szCs w:val="21"/>
        </w:rPr>
      </w:pPr>
    </w:p>
    <w:p w14:paraId="1AD2140F">
      <w:pPr>
        <w:widowControl/>
        <w:tabs>
          <w:tab w:val="left" w:pos="377"/>
        </w:tabs>
        <w:spacing w:line="360" w:lineRule="exact"/>
        <w:ind w:left="210" w:leftChars="100"/>
        <w:jc w:val="center"/>
        <w:rPr>
          <w:rFonts w:ascii="Times New Roman Regular" w:hAnsi="Times New Roman Regular"/>
          <w:kern w:val="0"/>
          <w:sz w:val="24"/>
          <w:szCs w:val="21"/>
        </w:rPr>
      </w:pPr>
    </w:p>
    <w:p w14:paraId="232D35E2">
      <w:pPr>
        <w:widowControl/>
        <w:tabs>
          <w:tab w:val="left" w:pos="377"/>
        </w:tabs>
        <w:spacing w:line="360" w:lineRule="exact"/>
        <w:ind w:left="210" w:leftChars="100"/>
        <w:jc w:val="center"/>
        <w:rPr>
          <w:rFonts w:ascii="Times New Roman Regular" w:hAnsi="Times New Roman Regular"/>
          <w:kern w:val="0"/>
          <w:sz w:val="24"/>
          <w:szCs w:val="21"/>
        </w:rPr>
      </w:pPr>
    </w:p>
    <w:p w14:paraId="5E8329F7">
      <w:pPr>
        <w:widowControl/>
        <w:tabs>
          <w:tab w:val="left" w:pos="377"/>
        </w:tabs>
        <w:spacing w:line="480" w:lineRule="auto"/>
        <w:ind w:left="626" w:leftChars="298" w:firstLine="840" w:firstLineChars="300"/>
        <w:rPr>
          <w:rFonts w:ascii="Times New Roman Regular" w:hAnsi="Times New Roman Regular" w:eastAsia="文鼎CS楷体"/>
          <w:b/>
          <w:kern w:val="0"/>
          <w:sz w:val="28"/>
          <w:szCs w:val="28"/>
          <w:u w:val="single"/>
        </w:rPr>
      </w:pPr>
      <w:r>
        <w:rPr>
          <w:rFonts w:hint="eastAsia" w:ascii="Times New Roman Regular" w:hAnsi="Times New Roman Regular" w:eastAsia="文鼎CS楷体"/>
          <w:b/>
          <w:kern w:val="0"/>
          <w:sz w:val="28"/>
          <w:szCs w:val="28"/>
        </w:rPr>
        <w:t>论文题目</w:t>
      </w:r>
      <w:r>
        <w:rPr>
          <w:rFonts w:hint="eastAsia" w:ascii="Times New Roman Regular" w:hAnsi="Times New Roman Regular" w:eastAsia="文鼎CS楷体"/>
          <w:b/>
          <w:kern w:val="0"/>
          <w:sz w:val="28"/>
          <w:szCs w:val="28"/>
          <w:u w:val="single"/>
        </w:rPr>
        <w:t xml:space="preserve">  基于标签与语义融合的毕设系统实现  </w:t>
      </w:r>
    </w:p>
    <w:p w14:paraId="167A4CAA">
      <w:pPr>
        <w:widowControl/>
        <w:tabs>
          <w:tab w:val="left" w:pos="377"/>
        </w:tabs>
        <w:spacing w:line="480" w:lineRule="auto"/>
        <w:ind w:left="626" w:leftChars="298" w:firstLine="840" w:firstLineChars="300"/>
        <w:rPr>
          <w:rFonts w:ascii="Times New Roman Regular" w:hAnsi="Times New Roman Regular" w:eastAsia="文鼎CS楷体"/>
          <w:b/>
          <w:kern w:val="0"/>
          <w:sz w:val="28"/>
          <w:szCs w:val="28"/>
          <w:u w:val="single"/>
        </w:rPr>
      </w:pPr>
      <w:r>
        <w:rPr>
          <w:rFonts w:hint="eastAsia" w:ascii="Times New Roman Regular" w:hAnsi="Times New Roman Regular" w:eastAsia="文鼎CS楷体"/>
          <w:b/>
          <w:kern w:val="0"/>
          <w:sz w:val="28"/>
          <w:szCs w:val="28"/>
        </w:rPr>
        <w:t>学生姓名</w:t>
      </w:r>
      <w:r>
        <w:rPr>
          <w:rFonts w:hint="eastAsia" w:ascii="Times New Roman Regular" w:hAnsi="Times New Roman Regular" w:eastAsia="文鼎CS楷体"/>
          <w:b/>
          <w:kern w:val="0"/>
          <w:sz w:val="28"/>
          <w:szCs w:val="28"/>
          <w:u w:val="single"/>
        </w:rPr>
        <w:t xml:space="preserve">        </w:t>
      </w:r>
      <w:r>
        <w:rPr>
          <w:rFonts w:hint="eastAsia" w:ascii="Times New Roman Regular" w:hAnsi="Times New Roman Regular" w:eastAsia="文鼎CS楷体"/>
          <w:b/>
          <w:kern w:val="0"/>
          <w:sz w:val="28"/>
          <w:szCs w:val="28"/>
          <w:u w:val="single"/>
        </w:rPr>
        <w:t xml:space="preserve">  </w:t>
      </w:r>
      <w:r>
        <w:rPr>
          <w:rFonts w:hint="eastAsia" w:ascii="文鼎CS楷体" w:hAnsi="文鼎CS楷体" w:eastAsia="文鼎CS楷体" w:cs="文鼎CS楷体"/>
          <w:b/>
          <w:kern w:val="0"/>
          <w:sz w:val="28"/>
          <w:szCs w:val="28"/>
          <w:u w:val="single"/>
        </w:rPr>
        <w:t xml:space="preserve"> </w:t>
      </w:r>
      <w:r>
        <w:rPr>
          <w:rFonts w:hint="eastAsia" w:ascii="文鼎CS楷体" w:hAnsi="文鼎CS楷体" w:eastAsia="文鼎CS楷体" w:cs="文鼎CS楷体"/>
          <w:kern w:val="0"/>
          <w:sz w:val="28"/>
          <w:szCs w:val="28"/>
          <w:u w:val="single"/>
          <w:lang w:val="en-US" w:eastAsia="zh-CN"/>
        </w:rPr>
        <w:t>胡毅潞</w:t>
      </w:r>
      <w:r>
        <w:rPr>
          <w:rFonts w:hint="eastAsia" w:ascii="文鼎CS楷体" w:hAnsi="文鼎CS楷体" w:eastAsia="文鼎CS楷体" w:cs="文鼎CS楷体"/>
          <w:kern w:val="0"/>
          <w:sz w:val="28"/>
          <w:szCs w:val="28"/>
          <w:u w:val="single"/>
        </w:rPr>
        <w:t xml:space="preserve"> </w:t>
      </w:r>
      <w:r>
        <w:rPr>
          <w:rFonts w:hint="eastAsia" w:ascii="Times New Roman Regular" w:hAnsi="Times New Roman Regular" w:eastAsia="楷体_GB2312"/>
          <w:kern w:val="0"/>
          <w:sz w:val="28"/>
          <w:szCs w:val="28"/>
          <w:u w:val="single"/>
        </w:rPr>
        <w:t xml:space="preserve"> </w:t>
      </w:r>
      <w:r>
        <w:rPr>
          <w:rFonts w:hint="eastAsia" w:ascii="Times New Roman Regular" w:hAnsi="Times New Roman Regular" w:eastAsia="楷体_GB2312"/>
          <w:kern w:val="0"/>
          <w:sz w:val="24"/>
          <w:szCs w:val="24"/>
          <w:u w:val="single"/>
        </w:rPr>
        <w:t xml:space="preserve"> </w:t>
      </w:r>
      <w:r>
        <w:rPr>
          <w:rFonts w:hint="eastAsia" w:ascii="Times New Roman Regular" w:hAnsi="Times New Roman Regular" w:eastAsia="文鼎CS楷体"/>
          <w:b/>
          <w:kern w:val="0"/>
          <w:sz w:val="28"/>
          <w:szCs w:val="28"/>
          <w:u w:val="single"/>
        </w:rPr>
        <w:t xml:space="preserve">           </w:t>
      </w:r>
    </w:p>
    <w:p w14:paraId="6E6E592C">
      <w:pPr>
        <w:widowControl/>
        <w:tabs>
          <w:tab w:val="left" w:pos="377"/>
        </w:tabs>
        <w:spacing w:line="480" w:lineRule="auto"/>
        <w:ind w:left="626" w:leftChars="298" w:firstLine="840" w:firstLineChars="300"/>
        <w:rPr>
          <w:rFonts w:ascii="Times New Roman Regular" w:hAnsi="Times New Roman Regular" w:eastAsia="文鼎CS楷体"/>
          <w:b/>
          <w:kern w:val="0"/>
          <w:sz w:val="28"/>
          <w:szCs w:val="28"/>
        </w:rPr>
      </w:pPr>
      <w:r>
        <w:rPr>
          <w:rFonts w:hint="eastAsia" w:ascii="Times New Roman Regular" w:hAnsi="Times New Roman Regular" w:eastAsia="文鼎CS楷体"/>
          <w:b/>
          <w:kern w:val="0"/>
          <w:sz w:val="28"/>
          <w:szCs w:val="28"/>
        </w:rPr>
        <w:t>学生学号</w:t>
      </w:r>
      <w:r>
        <w:rPr>
          <w:rFonts w:hint="eastAsia" w:ascii="Times New Roman Regular" w:hAnsi="Times New Roman Regular" w:eastAsia="文鼎CS楷体"/>
          <w:b/>
          <w:kern w:val="0"/>
          <w:sz w:val="28"/>
          <w:szCs w:val="28"/>
          <w:u w:val="single"/>
        </w:rPr>
        <w:t xml:space="preserve">          </w:t>
      </w:r>
      <w:r>
        <w:rPr>
          <w:rFonts w:hint="eastAsia" w:ascii="Times New Roman Regular" w:hAnsi="Times New Roman Regular" w:eastAsia="文鼎CS楷体"/>
          <w:b/>
          <w:kern w:val="0"/>
          <w:sz w:val="28"/>
          <w:szCs w:val="28"/>
          <w:u w:val="single"/>
          <w:lang w:val="en-US" w:eastAsia="zh-CN"/>
        </w:rPr>
        <w:t>22105040209</w:t>
      </w:r>
      <w:r>
        <w:rPr>
          <w:rFonts w:hint="eastAsia" w:ascii="Times New Roman Regular" w:hAnsi="Times New Roman Regular" w:eastAsia="文鼎CS楷体"/>
          <w:b/>
          <w:kern w:val="0"/>
          <w:sz w:val="28"/>
          <w:szCs w:val="28"/>
          <w:u w:val="single"/>
        </w:rPr>
        <w:t xml:space="preserve">        </w:t>
      </w:r>
    </w:p>
    <w:p w14:paraId="6A941AB7">
      <w:pPr>
        <w:widowControl/>
        <w:tabs>
          <w:tab w:val="left" w:pos="377"/>
        </w:tabs>
        <w:spacing w:line="480" w:lineRule="auto"/>
        <w:ind w:left="626" w:leftChars="298" w:firstLine="840" w:firstLineChars="300"/>
        <w:rPr>
          <w:rFonts w:ascii="Times New Roman Regular" w:hAnsi="Times New Roman Regular" w:eastAsia="文鼎CS楷体"/>
          <w:b/>
          <w:kern w:val="0"/>
          <w:sz w:val="28"/>
          <w:szCs w:val="28"/>
        </w:rPr>
      </w:pPr>
      <w:r>
        <w:rPr>
          <w:rFonts w:hint="eastAsia" w:ascii="Times New Roman Regular" w:hAnsi="Times New Roman Regular" w:eastAsia="文鼎CS楷体"/>
          <w:b/>
          <w:kern w:val="0"/>
          <w:sz w:val="28"/>
          <w:szCs w:val="28"/>
        </w:rPr>
        <w:t>指导教师</w:t>
      </w:r>
      <w:r>
        <w:rPr>
          <w:rFonts w:hint="eastAsia" w:ascii="Times New Roman Regular" w:hAnsi="Times New Roman Regular" w:eastAsia="文鼎CS楷体"/>
          <w:b/>
          <w:kern w:val="0"/>
          <w:sz w:val="28"/>
          <w:szCs w:val="28"/>
          <w:u w:val="single"/>
        </w:rPr>
        <w:t xml:space="preserve">            </w:t>
      </w:r>
      <w:r>
        <w:rPr>
          <w:rFonts w:hint="eastAsia" w:ascii="Times New Roman Regular" w:hAnsi="Times New Roman Regular" w:eastAsia="文鼎CS楷体"/>
          <w:b/>
          <w:kern w:val="0"/>
          <w:sz w:val="28"/>
          <w:szCs w:val="28"/>
          <w:u w:val="single"/>
          <w:lang w:val="en-US" w:eastAsia="zh-CN"/>
        </w:rPr>
        <w:t>张倩</w:t>
      </w:r>
      <w:r>
        <w:rPr>
          <w:rFonts w:hint="eastAsia" w:ascii="Times New Roman Regular" w:hAnsi="Times New Roman Regular" w:eastAsia="文鼎CS楷体"/>
          <w:b/>
          <w:kern w:val="0"/>
          <w:sz w:val="28"/>
          <w:szCs w:val="28"/>
          <w:u w:val="single"/>
        </w:rPr>
        <w:t xml:space="preserve">            </w:t>
      </w:r>
      <w:bookmarkStart w:id="8" w:name="_GoBack"/>
      <w:bookmarkEnd w:id="8"/>
    </w:p>
    <w:p w14:paraId="2F7B48CB">
      <w:pPr>
        <w:widowControl/>
        <w:tabs>
          <w:tab w:val="left" w:pos="377"/>
        </w:tabs>
        <w:spacing w:line="480" w:lineRule="auto"/>
        <w:ind w:left="626" w:leftChars="298" w:firstLine="840" w:firstLineChars="300"/>
        <w:rPr>
          <w:rFonts w:ascii="Times New Roman Regular" w:hAnsi="Times New Roman Regular" w:eastAsia="文鼎CS楷体"/>
          <w:b/>
          <w:kern w:val="0"/>
          <w:sz w:val="28"/>
          <w:szCs w:val="28"/>
          <w:u w:val="single"/>
        </w:rPr>
      </w:pPr>
      <w:r>
        <w:rPr>
          <w:rFonts w:hint="eastAsia" w:ascii="Times New Roman Regular" w:hAnsi="Times New Roman Regular" w:eastAsia="文鼎CS楷体"/>
          <w:b/>
          <w:kern w:val="0"/>
          <w:sz w:val="28"/>
          <w:szCs w:val="28"/>
        </w:rPr>
        <w:t>二级学院</w:t>
      </w:r>
      <w:r>
        <w:rPr>
          <w:rFonts w:hint="eastAsia" w:ascii="Times New Roman Regular" w:hAnsi="Times New Roman Regular" w:eastAsia="文鼎CS楷体"/>
          <w:b/>
          <w:kern w:val="0"/>
          <w:sz w:val="28"/>
          <w:szCs w:val="28"/>
          <w:u w:val="single"/>
        </w:rPr>
        <w:t xml:space="preserve">          </w:t>
      </w:r>
      <w:r>
        <w:rPr>
          <w:rFonts w:hint="eastAsia" w:ascii="Times New Roman Regular" w:hAnsi="Times New Roman Regular" w:eastAsia="文鼎CS楷体"/>
          <w:b/>
          <w:kern w:val="0"/>
          <w:sz w:val="28"/>
          <w:szCs w:val="28"/>
          <w:u w:val="single"/>
          <w:lang w:val="en-US" w:eastAsia="zh-CN"/>
        </w:rPr>
        <w:t>商务信息</w:t>
      </w:r>
      <w:r>
        <w:rPr>
          <w:rFonts w:hint="eastAsia" w:ascii="Times New Roman Regular" w:hAnsi="Times New Roman Regular" w:eastAsia="文鼎CS楷体"/>
          <w:b/>
          <w:kern w:val="0"/>
          <w:sz w:val="28"/>
          <w:szCs w:val="28"/>
          <w:u w:val="single"/>
        </w:rPr>
        <w:t xml:space="preserve">学院         </w:t>
      </w:r>
    </w:p>
    <w:p w14:paraId="232995F1">
      <w:pPr>
        <w:widowControl/>
        <w:tabs>
          <w:tab w:val="left" w:pos="377"/>
        </w:tabs>
        <w:spacing w:line="480" w:lineRule="auto"/>
        <w:ind w:left="626" w:leftChars="298" w:firstLine="840" w:firstLineChars="300"/>
        <w:rPr>
          <w:rFonts w:ascii="Times New Roman Regular" w:hAnsi="Times New Roman Regular" w:eastAsia="文鼎CS楷体"/>
          <w:b/>
          <w:kern w:val="0"/>
          <w:sz w:val="28"/>
          <w:szCs w:val="28"/>
          <w:u w:val="single"/>
        </w:rPr>
      </w:pPr>
      <w:r>
        <w:rPr>
          <w:rFonts w:hint="eastAsia" w:ascii="Times New Roman Regular" w:hAnsi="Times New Roman Regular" w:eastAsia="文鼎CS楷体"/>
          <w:b/>
          <w:kern w:val="0"/>
          <w:sz w:val="28"/>
          <w:szCs w:val="28"/>
        </w:rPr>
        <w:t>专业班级</w:t>
      </w:r>
      <w:r>
        <w:rPr>
          <w:rFonts w:hint="eastAsia" w:ascii="Times New Roman Regular" w:hAnsi="Times New Roman Regular" w:eastAsia="文鼎CS楷体"/>
          <w:b/>
          <w:kern w:val="0"/>
          <w:sz w:val="28"/>
          <w:szCs w:val="28"/>
          <w:u w:val="single"/>
        </w:rPr>
        <w:t xml:space="preserve">         </w:t>
      </w:r>
      <w:r>
        <w:rPr>
          <w:rFonts w:hint="eastAsia" w:ascii="Times New Roman Regular" w:hAnsi="Times New Roman Regular" w:eastAsia="文鼎CS楷体"/>
          <w:b/>
          <w:kern w:val="0"/>
          <w:sz w:val="28"/>
          <w:szCs w:val="28"/>
          <w:u w:val="single"/>
          <w:lang w:val="en-US" w:eastAsia="zh-CN"/>
        </w:rPr>
        <w:t>大数据管理与应用</w:t>
      </w:r>
      <w:r>
        <w:rPr>
          <w:rFonts w:hint="eastAsia" w:ascii="Times New Roman Regular" w:hAnsi="Times New Roman Regular" w:eastAsia="文鼎CS楷体"/>
          <w:b/>
          <w:kern w:val="0"/>
          <w:sz w:val="28"/>
          <w:szCs w:val="28"/>
          <w:u w:val="single"/>
        </w:rPr>
        <w:t>专业</w:t>
      </w:r>
      <w:r>
        <w:rPr>
          <w:rFonts w:hint="eastAsia" w:ascii="Times New Roman Regular" w:hAnsi="Times New Roman Regular" w:eastAsia="楷体_GB2312"/>
          <w:kern w:val="0"/>
          <w:sz w:val="24"/>
          <w:szCs w:val="24"/>
          <w:u w:val="single"/>
          <w:lang w:val="en-US" w:eastAsia="zh-CN"/>
        </w:rPr>
        <w:t>222</w:t>
      </w:r>
      <w:r>
        <w:rPr>
          <w:rFonts w:hint="eastAsia" w:ascii="Times New Roman Regular" w:hAnsi="Times New Roman Regular" w:eastAsia="文鼎CS楷体"/>
          <w:b/>
          <w:kern w:val="0"/>
          <w:sz w:val="28"/>
          <w:szCs w:val="28"/>
          <w:u w:val="single"/>
        </w:rPr>
        <w:t xml:space="preserve">班       </w:t>
      </w:r>
    </w:p>
    <w:p w14:paraId="032B8C93">
      <w:pPr>
        <w:widowControl/>
        <w:tabs>
          <w:tab w:val="left" w:pos="377"/>
        </w:tabs>
        <w:spacing w:line="480" w:lineRule="auto"/>
        <w:rPr>
          <w:rFonts w:ascii="Times New Roman Regular" w:hAnsi="Times New Roman Regular" w:eastAsia="文鼎CS楷体"/>
          <w:b/>
          <w:kern w:val="0"/>
          <w:sz w:val="28"/>
          <w:szCs w:val="28"/>
          <w:u w:val="single"/>
        </w:rPr>
      </w:pPr>
    </w:p>
    <w:p w14:paraId="59D0CE19">
      <w:pPr>
        <w:widowControl/>
        <w:tabs>
          <w:tab w:val="left" w:pos="377"/>
        </w:tabs>
        <w:spacing w:line="480" w:lineRule="auto"/>
        <w:rPr>
          <w:rFonts w:ascii="Times New Roman Regular" w:hAnsi="Times New Roman Regular" w:eastAsia="文鼎CS楷体"/>
          <w:b/>
          <w:kern w:val="0"/>
          <w:sz w:val="28"/>
          <w:szCs w:val="28"/>
          <w:u w:val="single"/>
        </w:rPr>
      </w:pPr>
    </w:p>
    <w:p w14:paraId="29F4BFDF">
      <w:pPr>
        <w:widowControl/>
        <w:tabs>
          <w:tab w:val="left" w:pos="377"/>
        </w:tabs>
        <w:spacing w:line="480" w:lineRule="auto"/>
        <w:jc w:val="center"/>
        <w:rPr>
          <w:rFonts w:ascii="Times New Roman Regular" w:hAnsi="Times New Roman Regular" w:eastAsia="文鼎CS楷体"/>
          <w:b/>
          <w:kern w:val="0"/>
          <w:sz w:val="28"/>
          <w:szCs w:val="28"/>
        </w:rPr>
      </w:pPr>
      <w:r>
        <w:rPr>
          <w:rFonts w:hint="eastAsia" w:ascii="Times New Roman Regular" w:hAnsi="Times New Roman Regular" w:eastAsia="文鼎CS楷体"/>
          <w:b/>
          <w:kern w:val="0"/>
          <w:sz w:val="28"/>
          <w:szCs w:val="28"/>
          <w:lang w:val="en-US" w:eastAsia="zh-CN"/>
        </w:rPr>
        <w:t>2025</w:t>
      </w:r>
      <w:r>
        <w:rPr>
          <w:rFonts w:hint="eastAsia" w:ascii="Times New Roman Regular" w:hAnsi="Times New Roman Regular" w:eastAsia="文鼎CS楷体"/>
          <w:b/>
          <w:kern w:val="0"/>
          <w:sz w:val="28"/>
          <w:szCs w:val="28"/>
        </w:rPr>
        <w:t xml:space="preserve">年   </w:t>
      </w:r>
      <w:r>
        <w:rPr>
          <w:rFonts w:hint="eastAsia" w:ascii="Times New Roman Regular" w:hAnsi="Times New Roman Regular" w:eastAsia="文鼎CS楷体"/>
          <w:b/>
          <w:kern w:val="0"/>
          <w:sz w:val="28"/>
          <w:szCs w:val="28"/>
          <w:lang w:val="en-US" w:eastAsia="zh-CN"/>
        </w:rPr>
        <w:t>12</w:t>
      </w:r>
      <w:r>
        <w:rPr>
          <w:rFonts w:ascii="Times New Roman Regular" w:hAnsi="Times New Roman Regular" w:eastAsia="文鼎CS楷体"/>
          <w:b/>
          <w:kern w:val="0"/>
          <w:sz w:val="28"/>
          <w:szCs w:val="28"/>
        </w:rPr>
        <w:t>月</w:t>
      </w:r>
      <w:r>
        <w:rPr>
          <w:rFonts w:hint="eastAsia" w:ascii="Times New Roman Regular" w:hAnsi="Times New Roman Regular" w:eastAsia="文鼎CS楷体"/>
          <w:b/>
          <w:kern w:val="0"/>
          <w:sz w:val="28"/>
          <w:szCs w:val="28"/>
        </w:rPr>
        <w:t xml:space="preserve">    </w:t>
      </w:r>
      <w:r>
        <w:rPr>
          <w:rFonts w:hint="eastAsia" w:ascii="Times New Roman Regular" w:hAnsi="Times New Roman Regular" w:eastAsia="文鼎CS楷体"/>
          <w:b/>
          <w:kern w:val="0"/>
          <w:sz w:val="28"/>
          <w:szCs w:val="28"/>
          <w:lang w:val="en-US" w:eastAsia="zh-CN"/>
        </w:rPr>
        <w:t>28</w:t>
      </w:r>
      <w:r>
        <w:rPr>
          <w:rFonts w:ascii="Times New Roman Regular" w:hAnsi="Times New Roman Regular" w:eastAsia="文鼎CS楷体"/>
          <w:b/>
          <w:kern w:val="0"/>
          <w:sz w:val="28"/>
          <w:szCs w:val="28"/>
        </w:rPr>
        <w:t>日</w:t>
      </w:r>
    </w:p>
    <w:p w14:paraId="56A7BCBA">
      <w:pPr>
        <w:pStyle w:val="2"/>
        <w:bidi w:val="0"/>
        <w:rPr>
          <w:rFonts w:ascii="Times New Roman Regular" w:hAnsi="Times New Roman Regular" w:eastAsia="黑体"/>
          <w:bCs/>
          <w:kern w:val="0"/>
          <w:szCs w:val="28"/>
        </w:rPr>
      </w:pPr>
      <w:r>
        <w:rPr>
          <w:rFonts w:ascii="Times New Roman Regular" w:hAnsi="Times New Roman Regular"/>
          <w:kern w:val="0"/>
          <w:szCs w:val="24"/>
        </w:rPr>
        <w:br w:type="page"/>
      </w:r>
      <w:r>
        <w:rPr>
          <w:rFonts w:hint="eastAsia" w:ascii="Times New Roman Regular" w:hAnsi="Times New Roman Regular"/>
          <w:sz w:val="28"/>
          <w:szCs w:val="28"/>
        </w:rPr>
        <w:t>引言</w:t>
      </w:r>
    </w:p>
    <w:p w14:paraId="5EF8B8DD">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教育部《高等教育数字化转型专项行动计划（2024-2027年）》明确提出“以学生发展为中心，构建个性化教育服务体系，推动教务管理全流程数字化转型”的核心要求，将毕业论文管理作为人才培养质量提升的关键环节。近年来，我国高等教育普及化进程持续推进，高校毕业生规模逐年攀升，2024年全国高校毕业生人数已突破1179万，较十年前增长近50%。随之而来的是毕业论文选题、指导、审核及全程管理的工作量大幅增加，传统管理模式已难以适配规模化、个性化的人才培养需求，如何提升选题管理效率、保障选题质量、兼顾师生个性化诉求，成为当前高校教务管理工作的重点任务与核心难点。</w:t>
      </w:r>
      <w:r>
        <w:rPr>
          <w:rFonts w:hint="eastAsia" w:ascii="Times New Roman Regular" w:hAnsi="Times New Roman Regular"/>
          <w:kern w:val="0"/>
          <w:szCs w:val="21"/>
          <w:vertAlign w:val="superscript"/>
        </w:rPr>
        <w:t>[1][2]</w:t>
      </w:r>
    </w:p>
    <w:p w14:paraId="2F131BFB">
      <w:pPr>
        <w:widowControl/>
        <w:tabs>
          <w:tab w:val="left" w:pos="377"/>
        </w:tabs>
        <w:spacing w:line="360" w:lineRule="auto"/>
        <w:ind w:firstLine="420" w:firstLineChars="200"/>
        <w:rPr>
          <w:rFonts w:ascii="Times New Roman Regular" w:hAnsi="Times New Roman Regular"/>
          <w:b/>
          <w:kern w:val="0"/>
          <w:szCs w:val="21"/>
        </w:rPr>
      </w:pPr>
      <w:r>
        <w:rPr>
          <w:rFonts w:hint="eastAsia" w:ascii="Times New Roman Regular" w:hAnsi="Times New Roman Regular"/>
          <w:kern w:val="0"/>
          <w:szCs w:val="21"/>
        </w:rPr>
        <w:t>。</w:t>
      </w:r>
    </w:p>
    <w:p w14:paraId="59E0B06C">
      <w:pPr>
        <w:rPr>
          <w:rFonts w:hint="eastAsia" w:ascii="Times New Roman Regular" w:hAnsi="Times New Roman Regular" w:eastAsia="黑体"/>
          <w:bCs/>
          <w:kern w:val="0"/>
          <w:sz w:val="28"/>
          <w:szCs w:val="28"/>
        </w:rPr>
      </w:pPr>
      <w:r>
        <w:rPr>
          <w:rFonts w:hint="eastAsia" w:ascii="Times New Roman Regular" w:hAnsi="Times New Roman Regular" w:eastAsia="黑体"/>
          <w:bCs/>
          <w:kern w:val="0"/>
          <w:sz w:val="28"/>
          <w:szCs w:val="28"/>
        </w:rPr>
        <w:br w:type="page"/>
      </w:r>
    </w:p>
    <w:p w14:paraId="6B400732">
      <w:pPr>
        <w:pStyle w:val="2"/>
        <w:bidi w:val="0"/>
        <w:rPr>
          <w:rFonts w:hint="eastAsia" w:ascii="Times New Roman Regular" w:hAnsi="Times New Roman Regular"/>
          <w:sz w:val="28"/>
          <w:szCs w:val="28"/>
        </w:rPr>
      </w:pPr>
      <w:r>
        <w:rPr>
          <w:rFonts w:hint="eastAsia" w:ascii="Times New Roman Regular" w:hAnsi="Times New Roman Regular"/>
          <w:sz w:val="28"/>
          <w:szCs w:val="28"/>
        </w:rPr>
        <w:t>一、研究背景与意义</w:t>
      </w:r>
    </w:p>
    <w:p w14:paraId="7D9BCE1B">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当前多数高校仍以传统线下选题、简易Excel统计或功能单一的信息化工具为主，尚未形成系统化、智能化的选题管理体系，随着毕业生规模扩大和人才培养要求提升，各类管理弊端日益凸显，严重影响选题质量与管理效率。结合教育部2024年高校毕业论文管理调研数据及，当前选题管理的核心痛点可具体概括为四点：</w:t>
      </w:r>
    </w:p>
    <w:p w14:paraId="5FDC48B8">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1. 学生选题适配度低，盲目性强：调研显示，学生反映所选课题与个人发展规划、专业兴趣或能力水平存在脱节，表示选题时缺乏精准的方向引导，只能被动从导师拟定的课题列表中筛选，难以找到贴合自身需求的选题。多数高校未建立基于学生特征的精准推荐机制，学生需花费大量时间筛选无关选题，部分学生因选题不适配导致毕业论文撰写难度增加、完成质量不高。</w:t>
      </w:r>
    </w:p>
    <w:p w14:paraId="09A80CF5">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2. 导师命题压力大，选题质量参差不齐：高校导师普遍面临教学、科研双重压力，尤其是中青年导师和热门专业导师，人均需承担数名学生的毕业论文指导任务，命题工作耗时耗力。部分导师为节省时间，存在选题重复使用、内容陈旧等问题，导致选题同质化严重；部分选题过于偏向理论研究或超出本科学生实践能力范围，与行业发展趋势脱节，难以达到人才培养的实践要求。</w:t>
      </w:r>
    </w:p>
    <w:p w14:paraId="0CA7A9AF">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3. 选题调整流程僵化，学生自主诉求难保障：有不少学生在确定选题后，会因个人需求变化、能力与课题不匹配、研究条件受限等原因产生调整选题的需求，但现有选题调整流程需经过“学生提交申请-导师审核-学院教务审核-学校备案”多个环节，流程繁琐、周期较长，平均调整周期达6-8个工作日，部分学生因调整流程复杂而放弃调整，被迫继续完成不适配的选题，严重影响毕业论文撰写积极性。</w:t>
      </w:r>
    </w:p>
    <w:p w14:paraId="7F5D6795">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4. 选题模式单一，无法适配多元需求：当前高校选题模式较为单一，主要分为“先选导师后命题”和“先命题后选导师”两种模式，未考虑不同学科、不同年级、不同发展需求学生的个性化诉求。例如，低年级学生或跨专业学生更关注选题本身的适配性，对导师无明确偏好；而考研、深造导向的学生更看重导师的研究方向与学术资源，希望先确定导师再选择适配课题。单一模式难以兼顾各类学生需求，导致选题效率和匹配质量受限。</w:t>
      </w:r>
    </w:p>
    <w:p w14:paraId="1FE57527">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针对上述选题管理痛点，结合高等教育数字化转型要求，本研究聚焦“标签化匹配、AI赋能、灵活调整论题、多元模式”四大核心需求，构建基于Spring Boot+Vue3的毕业生选题与导师管理系统，重点实现学生标签化选题推荐、导师AI选题生成、选题二次返工、多步骤选题适配四大核心功能，破解传统选题管理模式的效率低、适配差、流程僵、模式单一等局限，推动选题管理向数字化、智能化、个性化转型。</w:t>
      </w:r>
    </w:p>
    <w:p w14:paraId="269724C1">
      <w:pPr>
        <w:widowControl/>
        <w:tabs>
          <w:tab w:val="left" w:pos="377"/>
        </w:tabs>
        <w:spacing w:line="360" w:lineRule="auto"/>
        <w:ind w:firstLine="420" w:firstLineChars="200"/>
        <w:rPr>
          <w:rFonts w:hint="eastAsia" w:ascii="Times New Roman Regular" w:hAnsi="Times New Roman Regular"/>
          <w:b/>
          <w:kern w:val="0"/>
          <w:szCs w:val="21"/>
        </w:rPr>
      </w:pPr>
      <w:r>
        <w:rPr>
          <w:rFonts w:hint="eastAsia" w:ascii="Times New Roman Regular" w:hAnsi="Times New Roman Regular"/>
          <w:kern w:val="0"/>
          <w:szCs w:val="21"/>
        </w:rPr>
        <w:t>系统核心算法参考现有成熟研究成果，充分借鉴标签化匹配、AI生成、流程优化等领域的技术经验，后续将结合高校不同学科、不同专业的实际管理需求，开展针对性的适配性验证与优化调整，确保技术方案贴合实际管理场景、满足师生核心需求，保障系统可落地、可推广。</w:t>
      </w:r>
    </w:p>
    <w:p w14:paraId="009BF4C0">
      <w:pPr>
        <w:widowControl/>
        <w:tabs>
          <w:tab w:val="left" w:pos="377"/>
        </w:tabs>
        <w:spacing w:line="360" w:lineRule="auto"/>
        <w:rPr>
          <w:rFonts w:hint="eastAsia" w:ascii="Times New Roman Regular" w:hAnsi="Times New Roman Regular"/>
          <w:b/>
          <w:kern w:val="0"/>
          <w:szCs w:val="21"/>
        </w:rPr>
      </w:pPr>
    </w:p>
    <w:p w14:paraId="51195B6C">
      <w:pPr>
        <w:pStyle w:val="2"/>
        <w:bidi w:val="0"/>
        <w:rPr>
          <w:rFonts w:hint="eastAsia" w:ascii="Times New Roman Regular" w:hAnsi="Times New Roman Regular" w:eastAsia="黑体" w:cs="黑体"/>
          <w:sz w:val="28"/>
          <w:szCs w:val="28"/>
          <w:lang w:val="en-US" w:eastAsia="zh-CN"/>
        </w:rPr>
      </w:pPr>
      <w:r>
        <w:rPr>
          <w:rFonts w:hint="eastAsia" w:ascii="Times New Roman Regular" w:hAnsi="Times New Roman Regular" w:eastAsia="黑体" w:cs="黑体"/>
          <w:sz w:val="28"/>
          <w:szCs w:val="28"/>
        </w:rPr>
        <w:t>二、课题意义</w:t>
      </w:r>
      <w:r>
        <w:rPr>
          <w:rFonts w:hint="eastAsia" w:ascii="Times New Roman Regular" w:hAnsi="Times New Roman Regular" w:eastAsia="黑体" w:cs="黑体"/>
          <w:sz w:val="28"/>
          <w:szCs w:val="28"/>
          <w:lang w:val="en-US" w:eastAsia="zh-CN"/>
        </w:rPr>
        <w:t>与研究目的</w:t>
      </w:r>
    </w:p>
    <w:p w14:paraId="746FF86B">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提出“学生-导师-选题”三维标签化映射理论，将学生发展需求、能力特征，导师研究方向、指导能力，选题适配要求、资源条件等模糊信息转化为可量化、可匹配的结构化标签与特征向量，填补选题推荐领域多维度标签融合应用的研究空白，为教育场景下智能匹配技术的应用提供新的理论视角。构建“AI辅助生成-人工审核校验”协同化选题生成模型，结合学科培养规范与导师研究方向，优化AI提示词工程与生成校验机制，明确大语言模型在高校教学命题环节的应用边界与实现路径，为AI与教育教学深度融合提供理论范式。设计多步骤选题流程动态适配框架，打破单一选题模式的理论局限，结合不同学科、不同学生的个性化需求，构建灵活适配的选题管理模式，为高校选题管理模式创新提供扎实的理论支撑。</w:t>
      </w:r>
    </w:p>
    <w:p w14:paraId="698953C1">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对学生而言，通过个人信息标签化处理与精准选题推荐，大幅降低无效选题筛选时间，帮助学生快速找到贴合自身发展需求、能力水平的选题；支持选题二次返工与自主生成，保障学生个性化诉求，提升选题满意度与毕业论文撰写积极性，进而提高毕业论文完成质量。</w:t>
      </w:r>
    </w:p>
    <w:p w14:paraId="4B6B8786">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对导师而言，借助AI技术辅助生成专业选题，有效降低命题工作难度与工作量，让导师将更多精力投入到毕业论文核心指导环节；通过学生标签快速掌握学生特征与需求，提升选题匹配精准度，同时为跨专业指导提供有效支撑，提高指导效率与质量。</w:t>
      </w:r>
    </w:p>
    <w:p w14:paraId="30EC5C78">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对高校而言，实现选题管理全流程数字化、智能化与灵活化，适配不同学科、不同场景的选题管理需求，大幅提升选题管理效率；形成学生-导师-选题的数据闭环，为学科建设、课程设置、师资配置等决策提供科学的数据支撑，助力高校人才培养质量提升。</w:t>
      </w:r>
    </w:p>
    <w:p w14:paraId="16CA53D8">
      <w:pPr>
        <w:widowControl/>
        <w:tabs>
          <w:tab w:val="left" w:pos="377"/>
        </w:tabs>
        <w:spacing w:line="360" w:lineRule="auto"/>
        <w:ind w:firstLine="420" w:firstLineChars="200"/>
        <w:rPr>
          <w:rFonts w:hint="eastAsia" w:ascii="Times New Roman Regular" w:hAnsi="Times New Roman Regular" w:eastAsia="黑体"/>
          <w:bCs/>
          <w:kern w:val="0"/>
          <w:sz w:val="28"/>
          <w:szCs w:val="28"/>
        </w:rPr>
      </w:pPr>
      <w:r>
        <w:rPr>
          <w:rFonts w:hint="eastAsia" w:ascii="Times New Roman Regular" w:hAnsi="Times New Roman Regular"/>
          <w:kern w:val="0"/>
          <w:szCs w:val="21"/>
        </w:rPr>
        <w:t>对教育管理领域而言，为高校教务管理数字化转型提供典型实践案例，推动“AI+教育管理”深度融合，为同类选题管理系统的开发与应用提供可参考的技术方案与实践经验，进一步提升教育管理效率与服务质量。</w:t>
      </w:r>
    </w:p>
    <w:p w14:paraId="50841E8E">
      <w:pPr>
        <w:pStyle w:val="2"/>
        <w:bidi w:val="0"/>
        <w:rPr>
          <w:rFonts w:hint="eastAsia" w:ascii="Times New Roman Regular" w:hAnsi="Times New Roman Regular" w:eastAsia="黑体" w:cs="黑体"/>
          <w:sz w:val="28"/>
          <w:szCs w:val="28"/>
        </w:rPr>
      </w:pPr>
      <w:r>
        <w:rPr>
          <w:rFonts w:hint="eastAsia" w:ascii="Times New Roman Regular" w:hAnsi="Times New Roman Regular" w:eastAsia="黑体" w:cs="黑体"/>
          <w:sz w:val="28"/>
          <w:szCs w:val="28"/>
          <w:lang w:val="en-US" w:eastAsia="zh-CN"/>
        </w:rPr>
        <w:t>三</w:t>
      </w:r>
      <w:r>
        <w:rPr>
          <w:rFonts w:hint="eastAsia" w:ascii="Times New Roman Regular" w:hAnsi="Times New Roman Regular" w:eastAsia="黑体" w:cs="黑体"/>
          <w:sz w:val="28"/>
          <w:szCs w:val="28"/>
        </w:rPr>
        <w:t>、国内外研究现状</w:t>
      </w:r>
    </w:p>
    <w:p w14:paraId="53D243BB">
      <w:pPr>
        <w:widowControl/>
        <w:tabs>
          <w:tab w:val="left" w:pos="377"/>
        </w:tabs>
        <w:spacing w:line="360" w:lineRule="auto"/>
        <w:ind w:firstLine="420" w:firstLineChars="200"/>
        <w:rPr>
          <w:rFonts w:hint="eastAsia" w:ascii="Times New Roman Regular" w:hAnsi="Times New Roman Regular" w:eastAsiaTheme="minorEastAsia" w:cstheme="minorEastAsia"/>
          <w:b w:val="0"/>
          <w:bCs/>
          <w:sz w:val="21"/>
          <w:szCs w:val="21"/>
        </w:rPr>
      </w:pPr>
      <w:r>
        <w:rPr>
          <w:rFonts w:hint="eastAsia" w:ascii="Times New Roman Regular" w:hAnsi="Times New Roman Regular" w:eastAsiaTheme="minorEastAsia" w:cstheme="minorEastAsia"/>
          <w:b w:val="0"/>
          <w:bCs/>
          <w:sz w:val="21"/>
          <w:szCs w:val="21"/>
        </w:rPr>
        <w:t>国内高校普遍建设了毕业设计管理系统，用于题目发布、材料提交与审核归档（相关平台与使用指南在公开渠道可查）。现有实践大量停留在记录型系统：能够回答“谁选了什么、流程是否合规”，但对“为何不匹配、如何降低错配风险”支持不足。教务数字化研究也指出，教学质量管理信息平台的关键价值在于过程可追溯与数据可聚合，而非仅替代纸质流转。因此，将选题环节从“文档管理”推进到“内容与过程并重的治理”，具有明确的现实动机。</w:t>
      </w:r>
    </w:p>
    <w:p w14:paraId="442582D2">
      <w:pPr>
        <w:widowControl/>
        <w:tabs>
          <w:tab w:val="left" w:pos="377"/>
        </w:tabs>
        <w:spacing w:line="360" w:lineRule="auto"/>
        <w:ind w:firstLine="420" w:firstLineChars="200"/>
        <w:rPr>
          <w:rFonts w:hint="eastAsia" w:ascii="Times New Roman Regular" w:hAnsi="Times New Roman Regular" w:eastAsiaTheme="minorEastAsia" w:cstheme="minorEastAsia"/>
          <w:b w:val="0"/>
          <w:bCs/>
          <w:sz w:val="21"/>
          <w:szCs w:val="21"/>
        </w:rPr>
      </w:pPr>
      <w:r>
        <w:rPr>
          <w:rFonts w:hint="eastAsia" w:ascii="Times New Roman Regular" w:hAnsi="Times New Roman Regular" w:eastAsiaTheme="minorEastAsia" w:cstheme="minorEastAsia"/>
          <w:b w:val="0"/>
          <w:bCs/>
          <w:sz w:val="21"/>
          <w:szCs w:val="21"/>
        </w:rPr>
        <w:t>推荐系统领域已形成协同过滤、基于内容与混合推荐等成熟范式。</w:t>
      </w:r>
      <w:r>
        <w:rPr>
          <w:rFonts w:hint="eastAsia" w:ascii="Times New Roman Regular" w:hAnsi="Times New Roman Regular" w:eastAsiaTheme="minorEastAsia" w:cstheme="minorEastAsia"/>
          <w:b w:val="0"/>
          <w:bCs/>
          <w:sz w:val="21"/>
          <w:szCs w:val="21"/>
          <w:vertAlign w:val="superscript"/>
        </w:rPr>
        <w:t>[3][4]</w:t>
      </w:r>
      <w:r>
        <w:rPr>
          <w:rFonts w:hint="eastAsia" w:ascii="Times New Roman Regular" w:hAnsi="Times New Roman Regular" w:eastAsiaTheme="minorEastAsia" w:cstheme="minorEastAsia"/>
          <w:b w:val="0"/>
          <w:bCs/>
          <w:sz w:val="21"/>
          <w:szCs w:val="21"/>
        </w:rPr>
        <w:t>在文本匹配方面，向量空间模型与信息检索基础方法为“关键词—文档”相关度计算提供了经典框架。</w:t>
      </w:r>
      <w:r>
        <w:rPr>
          <w:rFonts w:hint="eastAsia" w:ascii="Times New Roman Regular" w:hAnsi="Times New Roman Regular" w:eastAsiaTheme="minorEastAsia" w:cstheme="minorEastAsia"/>
          <w:b w:val="0"/>
          <w:bCs/>
          <w:sz w:val="21"/>
          <w:szCs w:val="21"/>
          <w:vertAlign w:val="superscript"/>
        </w:rPr>
        <w:t>[5][6]</w:t>
      </w:r>
      <w:r>
        <w:rPr>
          <w:rFonts w:hint="eastAsia" w:ascii="Times New Roman Regular" w:hAnsi="Times New Roman Regular" w:eastAsiaTheme="minorEastAsia" w:cstheme="minorEastAsia"/>
          <w:b w:val="0"/>
          <w:bCs/>
          <w:sz w:val="21"/>
          <w:szCs w:val="21"/>
        </w:rPr>
        <w:t>近年来，预训练语言模型与句向量技术提升了语义相似度计算能力，中文嵌入资源也在持续完善。</w:t>
      </w:r>
      <w:r>
        <w:rPr>
          <w:rFonts w:hint="eastAsia" w:ascii="Times New Roman Regular" w:hAnsi="Times New Roman Regular" w:eastAsiaTheme="minorEastAsia" w:cstheme="minorEastAsia"/>
          <w:b w:val="0"/>
          <w:bCs/>
          <w:sz w:val="21"/>
          <w:szCs w:val="21"/>
          <w:vertAlign w:val="superscript"/>
        </w:rPr>
        <w:t>[7][8][9]</w:t>
      </w:r>
      <w:r>
        <w:rPr>
          <w:rFonts w:hint="eastAsia" w:ascii="Times New Roman Regular" w:hAnsi="Times New Roman Regular" w:eastAsiaTheme="minorEastAsia" w:cstheme="minorEastAsia"/>
          <w:b w:val="0"/>
          <w:bCs/>
          <w:sz w:val="21"/>
          <w:szCs w:val="21"/>
        </w:rPr>
        <w:t>然而，教育场景往往更强调可解释性、可审计性与服务可运维性：师生需要理解“为何被推荐/排序”，管理者需要稳定可用的流程。直接将高复杂模型嵌入教务核心链路，容易引入不可解释与外部依赖风险，因此“轻量规则 + 可选语义增强 + 降级策略”成为更贴近落地的路线。</w:t>
      </w:r>
    </w:p>
    <w:p w14:paraId="010D35F7">
      <w:pPr>
        <w:widowControl/>
        <w:tabs>
          <w:tab w:val="left" w:pos="377"/>
        </w:tabs>
        <w:spacing w:line="360" w:lineRule="auto"/>
        <w:ind w:firstLine="420" w:firstLineChars="200"/>
        <w:rPr>
          <w:rFonts w:hint="eastAsia" w:ascii="Times New Roman Regular" w:hAnsi="Times New Roman Regular" w:eastAsiaTheme="minorEastAsia" w:cstheme="minorEastAsia"/>
          <w:b w:val="0"/>
          <w:bCs/>
          <w:sz w:val="21"/>
          <w:szCs w:val="21"/>
        </w:rPr>
      </w:pPr>
      <w:r>
        <w:rPr>
          <w:rFonts w:hint="eastAsia" w:ascii="Times New Roman Regular" w:hAnsi="Times New Roman Regular" w:eastAsiaTheme="minorEastAsia" w:cstheme="minorEastAsia"/>
          <w:b w:val="0"/>
          <w:bCs/>
          <w:sz w:val="21"/>
          <w:szCs w:val="21"/>
        </w:rPr>
        <w:t>而工作流技术能够规范节点、角色与时序，提升过程可控性。</w:t>
      </w:r>
      <w:r>
        <w:rPr>
          <w:rFonts w:hint="eastAsia" w:ascii="Times New Roman Regular" w:hAnsi="Times New Roman Regular" w:eastAsiaTheme="minorEastAsia" w:cstheme="minorEastAsia"/>
          <w:b w:val="0"/>
          <w:bCs/>
          <w:sz w:val="21"/>
          <w:szCs w:val="21"/>
          <w:vertAlign w:val="superscript"/>
        </w:rPr>
        <w:t>[10]</w:t>
      </w:r>
      <w:r>
        <w:rPr>
          <w:rFonts w:hint="eastAsia" w:ascii="Times New Roman Regular" w:hAnsi="Times New Roman Regular" w:eastAsiaTheme="minorEastAsia" w:cstheme="minorEastAsia"/>
          <w:b w:val="0"/>
          <w:bCs/>
          <w:sz w:val="21"/>
          <w:szCs w:val="21"/>
        </w:rPr>
        <w:t>但在选题场景中，流程合规并不等价于匹配合理：系统仍需内容层面的匹配依据。运筹与匹配文献将学生选报项目抽象为稳定匹配等问题，并讨论偏好、容量与公平性。</w:t>
      </w:r>
      <w:r>
        <w:rPr>
          <w:rFonts w:hint="eastAsia" w:ascii="Times New Roman Regular" w:hAnsi="Times New Roman Regular" w:eastAsiaTheme="minorEastAsia" w:cstheme="minorEastAsia"/>
          <w:b w:val="0"/>
          <w:bCs/>
          <w:sz w:val="21"/>
          <w:szCs w:val="21"/>
          <w:vertAlign w:val="superscript"/>
        </w:rPr>
        <w:t>[11][12]</w:t>
      </w:r>
      <w:r>
        <w:rPr>
          <w:rFonts w:hint="eastAsia" w:ascii="Times New Roman Regular" w:hAnsi="Times New Roman Regular" w:eastAsiaTheme="minorEastAsia" w:cstheme="minorEastAsia"/>
          <w:b w:val="0"/>
          <w:bCs/>
          <w:sz w:val="21"/>
          <w:szCs w:val="21"/>
        </w:rPr>
        <w:t>这些研究为“容量约束下的分配”提供了理论基础，但与真实教务系统结合时，仍需补齐审核、变更、协作沟通、材料版本与质量评价等工程化要素。</w:t>
      </w:r>
    </w:p>
    <w:p w14:paraId="72031DA2">
      <w:pPr>
        <w:widowControl/>
        <w:tabs>
          <w:tab w:val="left" w:pos="377"/>
        </w:tabs>
        <w:spacing w:line="360" w:lineRule="auto"/>
        <w:ind w:firstLine="420" w:firstLineChars="200"/>
        <w:rPr>
          <w:rFonts w:hint="eastAsia" w:ascii="Times New Roman Regular" w:hAnsi="Times New Roman Regular" w:eastAsiaTheme="minorEastAsia" w:cstheme="minorEastAsia"/>
          <w:b w:val="0"/>
          <w:bCs/>
          <w:sz w:val="21"/>
          <w:szCs w:val="21"/>
        </w:rPr>
      </w:pPr>
      <w:r>
        <w:rPr>
          <w:rFonts w:hint="eastAsia" w:ascii="Times New Roman Regular" w:hAnsi="Times New Roman Regular" w:eastAsiaTheme="minorEastAsia" w:cstheme="minorEastAsia"/>
          <w:b w:val="0"/>
          <w:bCs/>
          <w:sz w:val="21"/>
          <w:szCs w:val="21"/>
        </w:rPr>
        <w:t>近年来大语言模型与提示学习范式为文本生成与信息抽取提供了新工具。</w:t>
      </w:r>
      <w:r>
        <w:rPr>
          <w:rFonts w:hint="eastAsia" w:ascii="Times New Roman Regular" w:hAnsi="Times New Roman Regular" w:eastAsiaTheme="minorEastAsia" w:cstheme="minorEastAsia"/>
          <w:b w:val="0"/>
          <w:bCs/>
          <w:sz w:val="21"/>
          <w:szCs w:val="21"/>
          <w:vertAlign w:val="superscript"/>
        </w:rPr>
        <w:t>[13][14]</w:t>
      </w:r>
      <w:r>
        <w:rPr>
          <w:rFonts w:hint="eastAsia" w:ascii="Times New Roman Regular" w:hAnsi="Times New Roman Regular" w:eastAsiaTheme="minorEastAsia" w:cstheme="minorEastAsia"/>
          <w:b w:val="0"/>
          <w:bCs/>
          <w:sz w:val="21"/>
          <w:szCs w:val="21"/>
        </w:rPr>
        <w:t>教育信息化研究亦讨论大模型应用的规范、框架与实践路径。</w:t>
      </w:r>
      <w:r>
        <w:rPr>
          <w:rFonts w:hint="eastAsia" w:ascii="Times New Roman Regular" w:hAnsi="Times New Roman Regular" w:eastAsiaTheme="minorEastAsia" w:cstheme="minorEastAsia"/>
          <w:b w:val="0"/>
          <w:bCs/>
          <w:sz w:val="21"/>
          <w:szCs w:val="21"/>
          <w:vertAlign w:val="superscript"/>
        </w:rPr>
        <w:t>[15]</w:t>
      </w:r>
      <w:r>
        <w:rPr>
          <w:rFonts w:hint="eastAsia" w:ascii="Times New Roman Regular" w:hAnsi="Times New Roman Regular" w:eastAsiaTheme="minorEastAsia" w:cstheme="minorEastAsia"/>
          <w:b w:val="0"/>
          <w:bCs/>
          <w:sz w:val="21"/>
          <w:szCs w:val="21"/>
        </w:rPr>
        <w:t>对毕业论文命题而言，更关键的问题不是“能否生成”，而是如何把生成约束在培养方案、难度梯度、资源可行性与人工审核之内，并与题库去重、权限审计等机制联动。。</w:t>
      </w:r>
    </w:p>
    <w:p w14:paraId="6394A04A">
      <w:pPr>
        <w:widowControl/>
        <w:tabs>
          <w:tab w:val="left" w:pos="377"/>
        </w:tabs>
        <w:spacing w:line="360" w:lineRule="auto"/>
        <w:ind w:firstLine="420" w:firstLineChars="200"/>
        <w:rPr>
          <w:rFonts w:ascii="Times New Roman Regular" w:hAnsi="Times New Roman Regular"/>
          <w:b/>
          <w:kern w:val="0"/>
          <w:szCs w:val="21"/>
        </w:rPr>
      </w:pPr>
      <w:r>
        <w:rPr>
          <w:rFonts w:hint="eastAsia" w:ascii="Times New Roman Regular" w:hAnsi="Times New Roman Regular" w:eastAsiaTheme="minorEastAsia" w:cstheme="minorEastAsia"/>
          <w:b w:val="0"/>
          <w:bCs/>
          <w:sz w:val="21"/>
          <w:szCs w:val="21"/>
        </w:rPr>
        <w:t>综合上述研究可见：单一方向（纯流程、纯算法或纯 AI 工具）难以同时满足高校选题管理的复杂约束。本文切入点可概括为：以统一标签空间贯通学生画像、导师画像与题目需求；在匹配上采用标签重合度与语义向量融合，并保留向量服务失败时的可降级路径；在命题上采用AI 生成候选 + 相似度去重 + 导师定稿的人机协同机制；在流程上通过双模式入口合流为统一申请实体，并配套协作沟通、材料提交与双向评价数据链路，使系统从“记录结果”迈向“支撑决策与持续改进”。</w:t>
      </w:r>
    </w:p>
    <w:p w14:paraId="0CD554CC">
      <w:pPr>
        <w:pStyle w:val="2"/>
        <w:bidi w:val="0"/>
        <w:rPr>
          <w:rFonts w:hint="eastAsia" w:ascii="Times New Roman Regular" w:hAnsi="Times New Roman Regular" w:eastAsia="黑体" w:cs="黑体"/>
          <w:sz w:val="28"/>
          <w:szCs w:val="28"/>
        </w:rPr>
      </w:pPr>
      <w:r>
        <w:rPr>
          <w:rFonts w:hint="eastAsia" w:ascii="Times New Roman Regular" w:hAnsi="Times New Roman Regular" w:eastAsia="黑体" w:cs="黑体"/>
          <w:sz w:val="28"/>
          <w:szCs w:val="28"/>
          <w:lang w:val="en-US" w:eastAsia="zh-CN"/>
        </w:rPr>
        <w:t>四</w:t>
      </w:r>
      <w:r>
        <w:rPr>
          <w:rFonts w:hint="eastAsia" w:ascii="Times New Roman Regular" w:hAnsi="Times New Roman Regular" w:eastAsia="黑体" w:cs="黑体"/>
          <w:sz w:val="28"/>
          <w:szCs w:val="28"/>
        </w:rPr>
        <w:t>、研究的主要内容</w:t>
      </w:r>
    </w:p>
    <w:p w14:paraId="24D3D459">
      <w:pPr>
        <w:spacing w:line="360" w:lineRule="auto"/>
        <w:ind w:firstLine="525" w:firstLineChars="250"/>
        <w:rPr>
          <w:rFonts w:ascii="Times New Roman Regular" w:hAnsi="Times New Roman Regular"/>
          <w:szCs w:val="21"/>
        </w:rPr>
      </w:pPr>
      <w:r>
        <w:rPr>
          <w:rFonts w:hint="eastAsia" w:ascii="Times New Roman Regular" w:hAnsi="Times New Roman Regular"/>
          <w:kern w:val="0"/>
          <w:szCs w:val="21"/>
        </w:rPr>
        <w:t>本研究围绕高校选题管理痛点，将学生发展意向、能力结构、资源预期，以及导师研究方向、指导负荷、可提供条件，还有选题的能力与资源要求，映射到同一套可计算的标签与权重上，使推荐、排序、统计共用一套数据底座。</w:t>
      </w:r>
      <w:r>
        <w:rPr>
          <w:rFonts w:hint="eastAsia" w:ascii="Times New Roman Regular" w:hAnsi="Times New Roman Regular"/>
          <w:szCs w:val="21"/>
        </w:rPr>
        <w:t>具体研究提纲如下：</w:t>
      </w:r>
    </w:p>
    <w:p w14:paraId="6F51D0BC">
      <w:pPr>
        <w:widowControl/>
        <w:tabs>
          <w:tab w:val="left" w:pos="377"/>
        </w:tabs>
        <w:spacing w:line="360" w:lineRule="auto"/>
        <w:rPr>
          <w:rFonts w:hint="eastAsia" w:ascii="Times New Roman Regular" w:hAnsi="Times New Roman Regular"/>
          <w:bCs/>
          <w:kern w:val="0"/>
          <w:szCs w:val="21"/>
        </w:rPr>
      </w:pPr>
      <w:r>
        <w:rPr>
          <w:rFonts w:hint="eastAsia" w:ascii="Times New Roman Regular" w:hAnsi="Times New Roman Regular"/>
          <w:bCs/>
          <w:kern w:val="0"/>
          <w:szCs w:val="21"/>
        </w:rPr>
        <w:t xml:space="preserve">摘要 </w:t>
      </w:r>
    </w:p>
    <w:p w14:paraId="36283B38">
      <w:pPr>
        <w:widowControl/>
        <w:tabs>
          <w:tab w:val="left" w:pos="377"/>
        </w:tabs>
        <w:spacing w:line="360" w:lineRule="auto"/>
        <w:rPr>
          <w:rFonts w:hint="eastAsia" w:ascii="Times New Roman Regular" w:hAnsi="Times New Roman Regular"/>
          <w:bCs/>
          <w:kern w:val="0"/>
          <w:szCs w:val="21"/>
        </w:rPr>
      </w:pPr>
      <w:r>
        <w:rPr>
          <w:rFonts w:hint="eastAsia" w:ascii="Times New Roman Regular" w:hAnsi="Times New Roman Regular"/>
          <w:bCs/>
          <w:kern w:val="0"/>
          <w:szCs w:val="21"/>
        </w:rPr>
        <w:t xml:space="preserve">Abstract </w:t>
      </w:r>
    </w:p>
    <w:p w14:paraId="1953B934">
      <w:pPr>
        <w:widowControl/>
        <w:tabs>
          <w:tab w:val="left" w:pos="377"/>
        </w:tabs>
        <w:spacing w:line="360" w:lineRule="auto"/>
        <w:rPr>
          <w:rFonts w:hint="eastAsia" w:ascii="Times New Roman Regular" w:hAnsi="Times New Roman Regular"/>
          <w:bCs/>
          <w:kern w:val="0"/>
          <w:szCs w:val="21"/>
        </w:rPr>
      </w:pPr>
      <w:r>
        <w:rPr>
          <w:rFonts w:hint="eastAsia" w:ascii="Times New Roman Regular" w:hAnsi="Times New Roman Regular"/>
          <w:bCs/>
          <w:kern w:val="0"/>
          <w:szCs w:val="21"/>
        </w:rPr>
        <w:t xml:space="preserve">引言 </w:t>
      </w:r>
    </w:p>
    <w:p w14:paraId="775DB606">
      <w:pPr>
        <w:widowControl/>
        <w:tabs>
          <w:tab w:val="left" w:pos="377"/>
        </w:tabs>
        <w:spacing w:line="360" w:lineRule="auto"/>
        <w:rPr>
          <w:rFonts w:hint="eastAsia" w:ascii="Times New Roman Regular" w:hAnsi="Times New Roman Regular"/>
          <w:bCs/>
          <w:kern w:val="0"/>
          <w:szCs w:val="21"/>
        </w:rPr>
      </w:pPr>
      <w:r>
        <w:rPr>
          <w:rFonts w:hint="eastAsia" w:ascii="Times New Roman Regular" w:hAnsi="Times New Roman Regular"/>
          <w:bCs/>
          <w:kern w:val="0"/>
          <w:szCs w:val="21"/>
        </w:rPr>
        <w:t xml:space="preserve">1 需求分析 </w:t>
      </w:r>
    </w:p>
    <w:p w14:paraId="60B59D1B">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1.1</w:t>
      </w:r>
      <w:r>
        <w:rPr>
          <w:rFonts w:hint="eastAsia" w:ascii="Times New Roman Regular" w:hAnsi="Times New Roman Regular"/>
          <w:bCs/>
          <w:kern w:val="0"/>
          <w:szCs w:val="21"/>
        </w:rPr>
        <w:t xml:space="preserve">业务现状与现存问题分析 </w:t>
      </w:r>
    </w:p>
    <w:p w14:paraId="75ED4356">
      <w:pPr>
        <w:widowControl/>
        <w:numPr>
          <w:ilvl w:val="0"/>
          <w:numId w:val="0"/>
        </w:numPr>
        <w:tabs>
          <w:tab w:val="left" w:pos="377"/>
        </w:tabs>
        <w:spacing w:line="360" w:lineRule="auto"/>
        <w:ind w:leftChars="0"/>
        <w:rPr>
          <w:rFonts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1.2</w:t>
      </w:r>
      <w:r>
        <w:rPr>
          <w:rFonts w:hint="eastAsia" w:ascii="Times New Roman Regular" w:hAnsi="Times New Roman Regular"/>
          <w:bCs/>
          <w:kern w:val="0"/>
          <w:szCs w:val="21"/>
        </w:rPr>
        <w:t xml:space="preserve">行业研究现状与技术落地需求 </w:t>
      </w:r>
    </w:p>
    <w:p w14:paraId="6F757054">
      <w:pPr>
        <w:widowControl/>
        <w:numPr>
          <w:ilvl w:val="0"/>
          <w:numId w:val="0"/>
        </w:numPr>
        <w:tabs>
          <w:tab w:val="left" w:pos="377"/>
        </w:tabs>
        <w:spacing w:line="360" w:lineRule="auto"/>
        <w:ind w:leftChars="0"/>
        <w:rPr>
          <w:rFonts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1.3</w:t>
      </w:r>
      <w:r>
        <w:rPr>
          <w:rFonts w:hint="eastAsia" w:ascii="Times New Roman Regular" w:hAnsi="Times New Roman Regular"/>
          <w:bCs/>
          <w:kern w:val="0"/>
          <w:szCs w:val="21"/>
        </w:rPr>
        <w:t xml:space="preserve">系统核心功能与智能匹配需求 </w:t>
      </w:r>
    </w:p>
    <w:p w14:paraId="170A4F4D">
      <w:pPr>
        <w:widowControl/>
        <w:numPr>
          <w:ilvl w:val="0"/>
          <w:numId w:val="0"/>
        </w:numPr>
        <w:tabs>
          <w:tab w:val="left" w:pos="377"/>
        </w:tabs>
        <w:spacing w:line="360" w:lineRule="auto"/>
        <w:ind w:leftChars="0"/>
        <w:rPr>
          <w:rFonts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1.4</w:t>
      </w:r>
      <w:r>
        <w:rPr>
          <w:rFonts w:hint="eastAsia" w:ascii="Times New Roman Regular" w:hAnsi="Times New Roman Regular"/>
          <w:bCs/>
          <w:kern w:val="0"/>
          <w:szCs w:val="21"/>
        </w:rPr>
        <w:t xml:space="preserve">动态迭代与质量反馈需求 </w:t>
      </w:r>
    </w:p>
    <w:p w14:paraId="4EA3FCBF">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 xml:space="preserve">2 系统框架设计 </w:t>
      </w:r>
    </w:p>
    <w:p w14:paraId="34A46513">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2.1 设计目标与总体思路 </w:t>
      </w:r>
    </w:p>
    <w:p w14:paraId="535AE198">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2.2 核心业务需求 </w:t>
      </w:r>
    </w:p>
    <w:p w14:paraId="12BB2391">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2.3 学生侧画像与推荐需求分析 </w:t>
      </w:r>
    </w:p>
    <w:p w14:paraId="6ACDBB1C">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2</w:t>
      </w:r>
      <w:r>
        <w:rPr>
          <w:rFonts w:hint="eastAsia" w:ascii="Times New Roman Regular" w:hAnsi="Times New Roman Regular"/>
          <w:bCs/>
          <w:kern w:val="0"/>
          <w:szCs w:val="21"/>
        </w:rPr>
        <w:t xml:space="preserve">.4 导师侧命题与去重需求分析 </w:t>
      </w:r>
    </w:p>
    <w:p w14:paraId="40524201">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2.5 管理侧治理与闭环反馈需求分析 </w:t>
      </w:r>
    </w:p>
    <w:p w14:paraId="0113429D">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 xml:space="preserve">3 系统框架设计 </w:t>
      </w:r>
    </w:p>
    <w:p w14:paraId="47AFC137">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3.1 总体架构设计 </w:t>
      </w:r>
    </w:p>
    <w:p w14:paraId="568DE648">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3.2 功能架构设计 </w:t>
      </w:r>
    </w:p>
    <w:p w14:paraId="59FA42A0">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3.3 双模式申请流程：先选题与先选导师 </w:t>
      </w:r>
    </w:p>
    <w:p w14:paraId="49709A92">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3.4 关键技术设计</w:t>
      </w:r>
    </w:p>
    <w:p w14:paraId="05C6D346">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3.4.1安全与权限控制机制</w:t>
      </w:r>
    </w:p>
    <w:p w14:paraId="720E24DE">
      <w:pPr>
        <w:widowControl/>
        <w:numPr>
          <w:ilvl w:val="0"/>
          <w:numId w:val="0"/>
        </w:numPr>
        <w:tabs>
          <w:tab w:val="left" w:pos="377"/>
        </w:tabs>
        <w:spacing w:line="360" w:lineRule="auto"/>
        <w:ind w:leftChars="0"/>
        <w:rPr>
          <w:rFonts w:hint="eastAsia" w:ascii="Times New Roman Regular" w:hAnsi="Times New Roman Regular"/>
          <w:bCs/>
          <w:kern w:val="0"/>
          <w:szCs w:val="21"/>
          <w:lang w:val="en-US" w:eastAsia="zh-CN"/>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3.4.2 AI能力抽象层设计</w:t>
      </w:r>
    </w:p>
    <w:p w14:paraId="5CD32925">
      <w:pPr>
        <w:widowControl/>
        <w:numPr>
          <w:ilvl w:val="0"/>
          <w:numId w:val="0"/>
        </w:numPr>
        <w:tabs>
          <w:tab w:val="left" w:pos="377"/>
        </w:tabs>
        <w:spacing w:line="360" w:lineRule="auto"/>
        <w:ind w:leftChars="0"/>
        <w:rPr>
          <w:rFonts w:hint="default" w:ascii="Times New Roman Regular" w:hAnsi="Times New Roman Regular"/>
          <w:bCs/>
          <w:kern w:val="0"/>
          <w:szCs w:val="21"/>
          <w:lang w:val="en-US" w:eastAsia="zh-CN"/>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3.4.3 Embedding 服务与语义匹配</w:t>
      </w:r>
    </w:p>
    <w:p w14:paraId="20380DC7">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3.5 去重、事务一致性与可演进设计 </w:t>
      </w:r>
    </w:p>
    <w:p w14:paraId="26EDDA83">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3.6 系统设计图 </w:t>
      </w:r>
    </w:p>
    <w:p w14:paraId="2391259A">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 xml:space="preserve">4 功能模块实现 </w:t>
      </w:r>
    </w:p>
    <w:p w14:paraId="31BB569E">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4.1 选题发布与审核模块实现 </w:t>
      </w:r>
    </w:p>
    <w:p w14:paraId="72EC7A86">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4.2 申请与匹配模块实现 </w:t>
      </w:r>
    </w:p>
    <w:p w14:paraId="6820612A">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4.3 AI命题与去重模块实现 </w:t>
      </w:r>
    </w:p>
    <w:p w14:paraId="426F5177">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4.4 协作与过程管理模块实现</w:t>
      </w:r>
      <w:r>
        <w:rPr>
          <w:rFonts w:hint="eastAsia" w:ascii="Times New Roman Regular" w:hAnsi="Times New Roman Regular"/>
          <w:bCs/>
          <w:kern w:val="0"/>
          <w:szCs w:val="21"/>
          <w:lang w:val="en-US" w:eastAsia="zh-CN"/>
        </w:rPr>
        <w:tab/>
      </w:r>
    </w:p>
    <w:p w14:paraId="060B355D">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4.5 评价反馈与质量统计模块实现</w:t>
      </w:r>
    </w:p>
    <w:p w14:paraId="182D300A">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4.6 系统保障机制实现</w:t>
      </w:r>
    </w:p>
    <w:p w14:paraId="499E4565">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5 功能与测试</w:t>
      </w:r>
    </w:p>
    <w:p w14:paraId="26C121EC">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5.1 测试环境</w:t>
      </w:r>
    </w:p>
    <w:p w14:paraId="44E18AA1">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5.2 测试流程与基础可视化页面展示</w:t>
      </w:r>
    </w:p>
    <w:p w14:paraId="17A0C9BC">
      <w:pPr>
        <w:widowControl/>
        <w:numPr>
          <w:ilvl w:val="0"/>
          <w:numId w:val="0"/>
        </w:numPr>
        <w:tabs>
          <w:tab w:val="left" w:pos="377"/>
        </w:tabs>
        <w:spacing w:line="360" w:lineRule="auto"/>
        <w:ind w:leftChars="0"/>
        <w:rPr>
          <w:rFonts w:hint="eastAsia" w:ascii="Times New Roman Regular" w:hAnsi="Times New Roman Regular"/>
          <w:bCs/>
          <w:kern w:val="0"/>
          <w:szCs w:val="21"/>
          <w:lang w:val="en-US" w:eastAsia="zh-CN"/>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5.2.1 学生端页面</w:t>
      </w:r>
    </w:p>
    <w:p w14:paraId="047145AB">
      <w:pPr>
        <w:widowControl/>
        <w:numPr>
          <w:ilvl w:val="0"/>
          <w:numId w:val="0"/>
        </w:numPr>
        <w:tabs>
          <w:tab w:val="left" w:pos="377"/>
        </w:tabs>
        <w:spacing w:line="360" w:lineRule="auto"/>
        <w:ind w:leftChars="0"/>
        <w:rPr>
          <w:rFonts w:hint="eastAsia" w:ascii="Times New Roman Regular" w:hAnsi="Times New Roman Regular"/>
          <w:bCs/>
          <w:kern w:val="0"/>
          <w:szCs w:val="21"/>
          <w:lang w:val="en-US" w:eastAsia="zh-CN"/>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5.2.2 导师端测试</w:t>
      </w:r>
    </w:p>
    <w:p w14:paraId="4AB1B55E">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lang w:val="en-US" w:eastAsia="zh-CN"/>
        </w:rPr>
        <w:t>5.2.3 管理员端测试</w:t>
      </w:r>
    </w:p>
    <w:p w14:paraId="4E2239B6">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5.3 预期效果分析</w:t>
      </w:r>
    </w:p>
    <w:p w14:paraId="31960725">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 xml:space="preserve">6 结论与展望 </w:t>
      </w:r>
    </w:p>
    <w:p w14:paraId="20D11F6E">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6.1 系统方案综合分析</w:t>
      </w:r>
    </w:p>
    <w:p w14:paraId="6FC84FC4">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6.2 对高校毕业论文选题管理的应用建议</w:t>
      </w:r>
    </w:p>
    <w:p w14:paraId="6C2E42F4">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6.3 对学生与导师使用系统的建议 </w:t>
      </w:r>
    </w:p>
    <w:p w14:paraId="4BAE2FFC">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lang w:val="en-US" w:eastAsia="zh-CN"/>
        </w:rPr>
        <w:tab/>
      </w:r>
      <w:r>
        <w:rPr>
          <w:rFonts w:hint="eastAsia" w:ascii="Times New Roman Regular" w:hAnsi="Times New Roman Regular"/>
          <w:bCs/>
          <w:kern w:val="0"/>
          <w:szCs w:val="21"/>
        </w:rPr>
        <w:t xml:space="preserve">6.4 研究局限与未来工作展望 </w:t>
      </w:r>
    </w:p>
    <w:p w14:paraId="13263FC4">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 xml:space="preserve">结论 </w:t>
      </w:r>
    </w:p>
    <w:p w14:paraId="474B63DD">
      <w:pPr>
        <w:widowControl/>
        <w:numPr>
          <w:ilvl w:val="0"/>
          <w:numId w:val="0"/>
        </w:numPr>
        <w:tabs>
          <w:tab w:val="left" w:pos="377"/>
        </w:tabs>
        <w:spacing w:line="360" w:lineRule="auto"/>
        <w:ind w:leftChars="0"/>
        <w:rPr>
          <w:rFonts w:hint="eastAsia" w:ascii="Times New Roman Regular" w:hAnsi="Times New Roman Regular"/>
          <w:bCs/>
          <w:kern w:val="0"/>
          <w:szCs w:val="21"/>
        </w:rPr>
      </w:pPr>
      <w:r>
        <w:rPr>
          <w:rFonts w:hint="eastAsia" w:ascii="Times New Roman Regular" w:hAnsi="Times New Roman Regular"/>
          <w:bCs/>
          <w:kern w:val="0"/>
          <w:szCs w:val="21"/>
        </w:rPr>
        <w:t xml:space="preserve">参考文献 </w:t>
      </w:r>
    </w:p>
    <w:p w14:paraId="264032FA">
      <w:pPr>
        <w:widowControl/>
        <w:tabs>
          <w:tab w:val="left" w:pos="377"/>
        </w:tabs>
        <w:spacing w:line="360" w:lineRule="auto"/>
        <w:rPr>
          <w:rFonts w:ascii="Times New Roman Regular" w:hAnsi="Times New Roman Regular"/>
          <w:bCs/>
          <w:kern w:val="0"/>
          <w:szCs w:val="21"/>
        </w:rPr>
      </w:pPr>
      <w:r>
        <w:rPr>
          <w:rFonts w:hint="eastAsia" w:ascii="Times New Roman Regular" w:hAnsi="Times New Roman Regular"/>
          <w:bCs/>
          <w:kern w:val="0"/>
          <w:szCs w:val="21"/>
        </w:rPr>
        <w:t>致谢</w:t>
      </w:r>
    </w:p>
    <w:p w14:paraId="1C07E2D1">
      <w:pPr>
        <w:pStyle w:val="2"/>
        <w:bidi w:val="0"/>
        <w:rPr>
          <w:rFonts w:ascii="Times New Roman Regular" w:hAnsi="Times New Roman Regular"/>
        </w:rPr>
      </w:pPr>
      <w:r>
        <w:rPr>
          <w:rFonts w:hint="eastAsia" w:ascii="Times New Roman Regular" w:hAnsi="Times New Roman Regular" w:eastAsia="黑体" w:cs="黑体"/>
          <w:sz w:val="28"/>
          <w:szCs w:val="28"/>
        </w:rPr>
        <w:t>六、拟解决的主要问题</w:t>
      </w:r>
    </w:p>
    <w:p w14:paraId="37DF3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rPr>
      </w:pPr>
      <w:r>
        <w:rPr>
          <w:rFonts w:hint="eastAsia" w:ascii="Times New Roman Regular" w:hAnsi="Times New Roman Regular"/>
        </w:rPr>
        <w:t>1. 画像与标签标准化问题：如何把学生兴趣、能力、资源条件等“软信息”转换为可计算、可复用的结构化标签，并控制标签口径漂移与维护成本。</w:t>
      </w:r>
    </w:p>
    <w:p w14:paraId="43802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rPr>
      </w:pPr>
      <w:r>
        <w:rPr>
          <w:rFonts w:hint="eastAsia" w:ascii="Times New Roman Regular" w:hAnsi="Times New Roman Regular"/>
        </w:rPr>
        <w:t>2. 冷启动与数据稀疏问题：在缺少历史交互数据、选题样本有限的情况下，如何仍然输出可用的推荐排序，并在数据积累后平滑升级为更稳定的融合策略。</w:t>
      </w:r>
    </w:p>
    <w:p w14:paraId="612942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rPr>
      </w:pPr>
      <w:r>
        <w:rPr>
          <w:rFonts w:hint="eastAsia" w:ascii="Times New Roman Regular" w:hAnsi="Times New Roman Regular"/>
        </w:rPr>
        <w:t>3. 可解释性与可审计问题：如何让推荐结果“说得清楚”（标签命中、权重贡献、语义相似度来源），同时支持管理员追溯关键决策与权限变更记录。</w:t>
      </w:r>
    </w:p>
    <w:p w14:paraId="542497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rPr>
      </w:pPr>
      <w:r>
        <w:rPr>
          <w:rFonts w:hint="eastAsia" w:ascii="Times New Roman Regular" w:hAnsi="Times New Roman Regular"/>
        </w:rPr>
        <w:t>4. AI 命题可控性问题：如何将大模型生成严格约束在培养方案与难度梯度内，并通过相似度去重、敏感词与格式校验、导师定稿等机制降低风险。</w:t>
      </w:r>
    </w:p>
    <w:p w14:paraId="66A63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rPr>
      </w:pPr>
      <w:r>
        <w:rPr>
          <w:rFonts w:hint="eastAsia" w:ascii="Times New Roman Regular" w:hAnsi="Times New Roman Regular"/>
        </w:rPr>
        <w:t>5. 双模式流程一致性问题：在“先选题”和“先选导师”两种入口并存时，如何保证统一的数据实体、状态机与审核规则，避免数据分叉导致的管理成本上升。</w:t>
      </w:r>
    </w:p>
    <w:p w14:paraId="4DC83E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rPr>
      </w:pPr>
      <w:r>
        <w:rPr>
          <w:rFonts w:hint="eastAsia" w:ascii="Times New Roman Regular" w:hAnsi="Times New Roman Regular"/>
        </w:rPr>
        <w:t>6. 变更与返工可追溯问题：如何为确实不适配的情况提供合规、可追溯的变更通道，避免“私下沟通—系统状态不一致—材料版本混乱”。</w:t>
      </w:r>
    </w:p>
    <w:p w14:paraId="0A34CB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Regular" w:hAnsi="Times New Roman Regular"/>
          <w:kern w:val="0"/>
          <w:szCs w:val="21"/>
        </w:rPr>
      </w:pPr>
      <w:r>
        <w:rPr>
          <w:rFonts w:hint="eastAsia" w:ascii="Times New Roman Regular" w:hAnsi="Times New Roman Regular"/>
        </w:rPr>
        <w:t>7. 工程化可运维问题：如何设计语义服务与 AI 服务的降级策略、限流与异常兜底，使系统在外部服务波动时仍能提供“核心功能可用”的底线体验。</w:t>
      </w:r>
    </w:p>
    <w:p w14:paraId="2E97CCDC">
      <w:pPr>
        <w:pStyle w:val="2"/>
        <w:bidi w:val="0"/>
        <w:rPr>
          <w:rFonts w:ascii="Times New Roman Regular" w:hAnsi="Times New Roman Regular"/>
          <w:sz w:val="28"/>
          <w:szCs w:val="28"/>
        </w:rPr>
      </w:pPr>
      <w:r>
        <w:rPr>
          <w:rFonts w:hint="eastAsia" w:ascii="Times New Roman Regular" w:hAnsi="Times New Roman Regular" w:eastAsia="黑体" w:cs="黑体"/>
          <w:sz w:val="28"/>
          <w:szCs w:val="28"/>
        </w:rPr>
        <w:t>七、研究过程中可能遇到的问题及解决办法</w:t>
      </w:r>
    </w:p>
    <w:p w14:paraId="7B2F5C6F">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1. 标签体系口径不统一、维护成本高：</w:t>
      </w:r>
    </w:p>
    <w:p w14:paraId="20E40F8D">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解决办法：建立“公共标签库 + 学科标签库 + 个性标签”的分层机制；为每个标签定义同义词、适用范围、创建/审核角色与变更记录；在录入与审核环节提供标签推荐与合并提示，减少重复标签。</w:t>
      </w:r>
    </w:p>
    <w:p w14:paraId="113AA0A7">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2. 推荐结果被质疑“黑箱”或不公平：</w:t>
      </w:r>
    </w:p>
    <w:p w14:paraId="70477E4F">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解决办法：输出可解释条目（命中标签、权重贡献、语义相似度得分区间）；引入基础公平约束（如导师容量、题目容量、申请优先级规则）并对关键规则进行可配置化与审计。</w:t>
      </w:r>
    </w:p>
    <w:p w14:paraId="38DB2811">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3. AI 生成题目质量不稳定、重复率高或不符合培养要求：</w:t>
      </w:r>
    </w:p>
    <w:p w14:paraId="79EECF20">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解决办法：采用“提示词模板 + 培养方案约束 + 生成后校验（格式/难度/资源）+ 相似度去重 + 导师定稿”的人机协同链路；对高风险内容设置拒绝策略与人工复核。</w:t>
      </w:r>
    </w:p>
    <w:p w14:paraId="4E5EEF2C">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4. 外部语义/AI 服务不可用导致核心功能中断：</w:t>
      </w:r>
    </w:p>
    <w:p w14:paraId="663790E4">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解决办法：设计降级路径（仅标签重合度排序、缓存向量、异步重试）；对外部调用进行超时控制、熔断与限流；关键操作提供队列化与失败可回滚机制。</w:t>
      </w:r>
    </w:p>
    <w:p w14:paraId="15837A87">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5. 数据来源分散、历史数据质量参差：</w:t>
      </w:r>
    </w:p>
    <w:p w14:paraId="5FB85CAA">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解决办法：在导入阶段进行数据清洗与校验（字段完整性、格式规范、重复检测）；对关键字段建立约束与默认值策略；通过日志与报表持续暴露数据缺口，推动治理闭环。</w:t>
      </w:r>
    </w:p>
    <w:p w14:paraId="5D06129D">
      <w:pPr>
        <w:widowControl/>
        <w:tabs>
          <w:tab w:val="left" w:pos="377"/>
        </w:tabs>
        <w:spacing w:line="360" w:lineRule="auto"/>
        <w:ind w:firstLine="420" w:firstLineChars="200"/>
        <w:rPr>
          <w:rFonts w:hint="eastAsia" w:ascii="Times New Roman Regular" w:hAnsi="Times New Roman Regular"/>
          <w:kern w:val="0"/>
          <w:szCs w:val="21"/>
        </w:rPr>
      </w:pPr>
      <w:r>
        <w:rPr>
          <w:rFonts w:hint="eastAsia" w:ascii="Times New Roman Regular" w:hAnsi="Times New Roman Regular"/>
          <w:kern w:val="0"/>
          <w:szCs w:val="21"/>
        </w:rPr>
        <w:t>6. 用户接受度与使用习惯迁移难：</w:t>
      </w:r>
    </w:p>
    <w:p w14:paraId="12DB4800">
      <w:pPr>
        <w:widowControl/>
        <w:tabs>
          <w:tab w:val="left" w:pos="377"/>
        </w:tabs>
        <w:spacing w:line="360" w:lineRule="auto"/>
        <w:ind w:firstLine="420" w:firstLineChars="200"/>
        <w:rPr>
          <w:rFonts w:ascii="Times New Roman Regular" w:hAnsi="Times New Roman Regular"/>
          <w:kern w:val="0"/>
          <w:szCs w:val="21"/>
        </w:rPr>
      </w:pPr>
      <w:r>
        <w:rPr>
          <w:rFonts w:hint="eastAsia" w:ascii="Times New Roman Regular" w:hAnsi="Times New Roman Regular"/>
          <w:kern w:val="0"/>
          <w:szCs w:val="21"/>
        </w:rPr>
        <w:t>解决办法：以“少打扰”的流程嵌入为原则，优先保证基础流程（发布-申请-审核-归档）可用；提供清晰的引导与可视化状态；用小范围试点收集反馈，迭代标签与规则配置。</w:t>
      </w:r>
    </w:p>
    <w:p w14:paraId="6CED2D79">
      <w:pPr>
        <w:pStyle w:val="2"/>
        <w:bidi w:val="0"/>
        <w:rPr>
          <w:rFonts w:hint="eastAsia" w:ascii="Times New Roman Regular" w:hAnsi="Times New Roman Regular" w:eastAsia="黑体" w:cs="黑体"/>
          <w:sz w:val="28"/>
          <w:szCs w:val="28"/>
        </w:rPr>
      </w:pPr>
      <w:r>
        <w:rPr>
          <w:rFonts w:hint="eastAsia" w:ascii="Times New Roman Regular" w:hAnsi="Times New Roman Regular" w:eastAsia="黑体" w:cs="黑体"/>
          <w:sz w:val="28"/>
          <w:szCs w:val="28"/>
        </w:rPr>
        <w:t>八、毕业论文进度安排</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2182"/>
        <w:gridCol w:w="2547"/>
        <w:gridCol w:w="2001"/>
        <w:gridCol w:w="957"/>
      </w:tblGrid>
      <w:tr w14:paraId="4CFC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shd w:val="clear" w:color="auto" w:fill="auto"/>
          </w:tcPr>
          <w:p w14:paraId="297E1D6B">
            <w:pPr>
              <w:spacing w:line="360" w:lineRule="auto"/>
              <w:jc w:val="center"/>
              <w:rPr>
                <w:rFonts w:ascii="Times New Roman Regular" w:hAnsi="Times New Roman Regular"/>
                <w:bCs/>
                <w:szCs w:val="21"/>
              </w:rPr>
            </w:pPr>
            <w:r>
              <w:rPr>
                <w:rFonts w:hint="eastAsia" w:ascii="Times New Roman Regular" w:hAnsi="Times New Roman Regular"/>
                <w:bCs/>
                <w:szCs w:val="21"/>
              </w:rPr>
              <w:t>序号</w:t>
            </w:r>
          </w:p>
        </w:tc>
        <w:tc>
          <w:tcPr>
            <w:tcW w:w="1280" w:type="pct"/>
            <w:shd w:val="clear" w:color="auto" w:fill="auto"/>
          </w:tcPr>
          <w:p w14:paraId="2488746D">
            <w:pPr>
              <w:spacing w:line="360" w:lineRule="auto"/>
              <w:jc w:val="center"/>
              <w:rPr>
                <w:rFonts w:ascii="Times New Roman Regular" w:hAnsi="Times New Roman Regular"/>
                <w:bCs/>
                <w:szCs w:val="21"/>
              </w:rPr>
            </w:pPr>
            <w:r>
              <w:rPr>
                <w:rFonts w:hint="eastAsia" w:ascii="Times New Roman Regular" w:hAnsi="Times New Roman Regular"/>
                <w:bCs/>
                <w:szCs w:val="21"/>
              </w:rPr>
              <w:t>起止日期</w:t>
            </w:r>
          </w:p>
        </w:tc>
        <w:tc>
          <w:tcPr>
            <w:tcW w:w="1494" w:type="pct"/>
            <w:shd w:val="clear" w:color="auto" w:fill="auto"/>
          </w:tcPr>
          <w:p w14:paraId="7BAA1749">
            <w:pPr>
              <w:spacing w:line="360" w:lineRule="auto"/>
              <w:jc w:val="center"/>
              <w:rPr>
                <w:rFonts w:ascii="Times New Roman Regular" w:hAnsi="Times New Roman Regular"/>
                <w:bCs/>
                <w:szCs w:val="21"/>
              </w:rPr>
            </w:pPr>
            <w:r>
              <w:rPr>
                <w:rFonts w:hint="eastAsia" w:ascii="Times New Roman Regular" w:hAnsi="Times New Roman Regular"/>
                <w:bCs/>
                <w:szCs w:val="21"/>
              </w:rPr>
              <w:t>任务</w:t>
            </w:r>
          </w:p>
        </w:tc>
        <w:tc>
          <w:tcPr>
            <w:tcW w:w="1174" w:type="pct"/>
            <w:shd w:val="clear" w:color="auto" w:fill="auto"/>
          </w:tcPr>
          <w:p w14:paraId="3C5F8EB8">
            <w:pPr>
              <w:spacing w:line="360" w:lineRule="auto"/>
              <w:jc w:val="center"/>
              <w:rPr>
                <w:rFonts w:ascii="Times New Roman Regular" w:hAnsi="Times New Roman Regular"/>
                <w:bCs/>
                <w:szCs w:val="21"/>
              </w:rPr>
            </w:pPr>
            <w:r>
              <w:rPr>
                <w:rFonts w:hint="eastAsia" w:ascii="Times New Roman Regular" w:hAnsi="Times New Roman Regular"/>
                <w:bCs/>
                <w:szCs w:val="21"/>
              </w:rPr>
              <w:t>提交阶段成果</w:t>
            </w:r>
          </w:p>
        </w:tc>
        <w:tc>
          <w:tcPr>
            <w:tcW w:w="561" w:type="pct"/>
            <w:shd w:val="clear" w:color="auto" w:fill="auto"/>
          </w:tcPr>
          <w:p w14:paraId="2C24FE04">
            <w:pPr>
              <w:spacing w:line="360" w:lineRule="auto"/>
              <w:jc w:val="center"/>
              <w:rPr>
                <w:rFonts w:ascii="Times New Roman Regular" w:hAnsi="Times New Roman Regular"/>
                <w:bCs/>
                <w:szCs w:val="21"/>
              </w:rPr>
            </w:pPr>
            <w:r>
              <w:rPr>
                <w:rFonts w:hint="eastAsia" w:ascii="Times New Roman Regular" w:hAnsi="Times New Roman Regular"/>
                <w:bCs/>
                <w:szCs w:val="21"/>
              </w:rPr>
              <w:t>备注</w:t>
            </w:r>
          </w:p>
        </w:tc>
      </w:tr>
      <w:tr w14:paraId="2C291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shd w:val="clear" w:color="auto" w:fill="auto"/>
          </w:tcPr>
          <w:p w14:paraId="4061ABDF">
            <w:pPr>
              <w:spacing w:line="360" w:lineRule="auto"/>
              <w:jc w:val="center"/>
              <w:rPr>
                <w:rFonts w:ascii="Times New Roman Regular" w:hAnsi="Times New Roman Regular"/>
                <w:bCs/>
                <w:szCs w:val="21"/>
              </w:rPr>
            </w:pPr>
            <w:r>
              <w:rPr>
                <w:rFonts w:hint="eastAsia" w:ascii="Times New Roman Regular" w:hAnsi="Times New Roman Regular"/>
                <w:bCs/>
                <w:szCs w:val="21"/>
              </w:rPr>
              <w:t>1</w:t>
            </w:r>
          </w:p>
        </w:tc>
        <w:tc>
          <w:tcPr>
            <w:tcW w:w="1280" w:type="pct"/>
            <w:shd w:val="clear" w:color="auto" w:fill="auto"/>
          </w:tcPr>
          <w:p w14:paraId="78EDB269">
            <w:pPr>
              <w:spacing w:line="360" w:lineRule="auto"/>
              <w:rPr>
                <w:rFonts w:ascii="Times New Roman Regular" w:hAnsi="Times New Roman Regular"/>
                <w:bCs/>
                <w:szCs w:val="21"/>
              </w:rPr>
            </w:pPr>
            <w:r>
              <w:rPr>
                <w:rFonts w:hint="eastAsia" w:ascii="宋体" w:hAnsi="宋体"/>
                <w:bCs/>
                <w:szCs w:val="21"/>
                <w:lang w:val="en-US" w:eastAsia="zh-CN"/>
              </w:rPr>
              <w:t xml:space="preserve">2025 </w:t>
            </w:r>
            <w:r>
              <w:rPr>
                <w:rFonts w:hint="eastAsia" w:ascii="宋体" w:hAnsi="宋体"/>
                <w:bCs/>
                <w:szCs w:val="21"/>
              </w:rPr>
              <w:t>年</w:t>
            </w:r>
            <w:r>
              <w:rPr>
                <w:rFonts w:hint="eastAsia" w:ascii="宋体" w:hAnsi="宋体"/>
                <w:bCs/>
                <w:szCs w:val="21"/>
                <w:lang w:val="en-US" w:eastAsia="zh-CN"/>
              </w:rPr>
              <w:t xml:space="preserve"> 10 </w:t>
            </w:r>
            <w:r>
              <w:rPr>
                <w:rFonts w:hint="eastAsia" w:ascii="宋体" w:hAnsi="宋体"/>
                <w:bCs/>
                <w:szCs w:val="21"/>
              </w:rPr>
              <w:t>月</w:t>
            </w:r>
            <w:r>
              <w:rPr>
                <w:rFonts w:hint="eastAsia" w:ascii="宋体" w:hAnsi="宋体"/>
                <w:bCs/>
                <w:szCs w:val="21"/>
                <w:lang w:val="en-US" w:eastAsia="zh-CN"/>
              </w:rPr>
              <w:t xml:space="preserve"> 30 </w:t>
            </w:r>
            <w:r>
              <w:rPr>
                <w:rFonts w:hint="eastAsia" w:ascii="宋体" w:hAnsi="宋体"/>
                <w:bCs/>
                <w:szCs w:val="21"/>
              </w:rPr>
              <w:t>日-</w:t>
            </w:r>
            <w:r>
              <w:rPr>
                <w:rFonts w:hint="eastAsia" w:ascii="宋体" w:hAnsi="宋体"/>
                <w:bCs/>
                <w:szCs w:val="21"/>
                <w:lang w:val="en-US" w:eastAsia="zh-CN"/>
              </w:rPr>
              <w:t xml:space="preserve">2025 </w:t>
            </w:r>
            <w:r>
              <w:rPr>
                <w:rFonts w:hint="eastAsia" w:ascii="宋体" w:hAnsi="宋体"/>
                <w:bCs/>
                <w:szCs w:val="21"/>
              </w:rPr>
              <w:t>年</w:t>
            </w:r>
            <w:r>
              <w:rPr>
                <w:rFonts w:hint="eastAsia" w:ascii="宋体" w:hAnsi="宋体"/>
                <w:bCs/>
                <w:szCs w:val="21"/>
                <w:lang w:val="en-US" w:eastAsia="zh-CN"/>
              </w:rPr>
              <w:t xml:space="preserve"> 11</w:t>
            </w:r>
            <w:r>
              <w:rPr>
                <w:rFonts w:hint="eastAsia" w:ascii="宋体" w:hAnsi="宋体"/>
                <w:bCs/>
                <w:szCs w:val="21"/>
              </w:rPr>
              <w:t>月</w:t>
            </w:r>
            <w:r>
              <w:rPr>
                <w:rFonts w:hint="eastAsia" w:ascii="宋体" w:hAnsi="宋体"/>
                <w:bCs/>
                <w:szCs w:val="21"/>
                <w:lang w:val="en-US" w:eastAsia="zh-CN"/>
              </w:rPr>
              <w:t xml:space="preserve">20 </w:t>
            </w:r>
            <w:r>
              <w:rPr>
                <w:rFonts w:hint="eastAsia" w:ascii="宋体" w:hAnsi="宋体"/>
                <w:bCs/>
                <w:szCs w:val="21"/>
              </w:rPr>
              <w:t>日</w:t>
            </w:r>
          </w:p>
        </w:tc>
        <w:tc>
          <w:tcPr>
            <w:tcW w:w="1494" w:type="pct"/>
            <w:shd w:val="clear" w:color="auto" w:fill="auto"/>
          </w:tcPr>
          <w:p w14:paraId="5E26470E">
            <w:pPr>
              <w:spacing w:line="360" w:lineRule="auto"/>
              <w:rPr>
                <w:rFonts w:hint="default" w:ascii="Times New Roman Regular" w:hAnsi="Times New Roman Regular" w:eastAsia="宋体"/>
                <w:bCs/>
                <w:szCs w:val="21"/>
                <w:lang w:val="en-US" w:eastAsia="zh-CN"/>
              </w:rPr>
            </w:pPr>
            <w:r>
              <w:rPr>
                <w:rFonts w:hint="eastAsia" w:ascii="Times New Roman Regular" w:hAnsi="Times New Roman Regular"/>
                <w:bCs/>
                <w:szCs w:val="21"/>
              </w:rPr>
              <w:t>收集资料、选题、</w:t>
            </w:r>
            <w:r>
              <w:rPr>
                <w:rFonts w:hint="eastAsia" w:ascii="Times New Roman Regular" w:hAnsi="Times New Roman Regular"/>
                <w:bCs/>
                <w:szCs w:val="21"/>
                <w:lang w:val="en-US" w:eastAsia="zh-CN"/>
              </w:rPr>
              <w:t xml:space="preserve"> 确定框架</w:t>
            </w:r>
          </w:p>
        </w:tc>
        <w:tc>
          <w:tcPr>
            <w:tcW w:w="1174" w:type="pct"/>
            <w:shd w:val="clear" w:color="auto" w:fill="auto"/>
          </w:tcPr>
          <w:p w14:paraId="5CB82C5C">
            <w:pPr>
              <w:spacing w:line="360" w:lineRule="auto"/>
              <w:rPr>
                <w:rFonts w:ascii="Times New Roman Regular" w:hAnsi="Times New Roman Regular"/>
                <w:bCs/>
                <w:szCs w:val="21"/>
              </w:rPr>
            </w:pPr>
            <w:r>
              <w:rPr>
                <w:rFonts w:hint="eastAsia" w:ascii="Times New Roman Regular" w:hAnsi="Times New Roman Regular"/>
                <w:bCs/>
                <w:szCs w:val="21"/>
                <w:lang w:eastAsia="zh-Hans"/>
              </w:rPr>
              <w:t>研究思路与框架</w:t>
            </w:r>
          </w:p>
        </w:tc>
        <w:tc>
          <w:tcPr>
            <w:tcW w:w="561" w:type="pct"/>
            <w:shd w:val="clear" w:color="auto" w:fill="auto"/>
          </w:tcPr>
          <w:p w14:paraId="78B5F5A8">
            <w:pPr>
              <w:spacing w:line="360" w:lineRule="auto"/>
              <w:rPr>
                <w:rFonts w:ascii="Times New Roman Regular" w:hAnsi="Times New Roman Regular"/>
                <w:bCs/>
                <w:szCs w:val="21"/>
              </w:rPr>
            </w:pPr>
          </w:p>
        </w:tc>
      </w:tr>
      <w:tr w14:paraId="7349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shd w:val="clear" w:color="auto" w:fill="auto"/>
          </w:tcPr>
          <w:p w14:paraId="2EC87C1D">
            <w:pPr>
              <w:spacing w:line="360" w:lineRule="auto"/>
              <w:jc w:val="center"/>
              <w:rPr>
                <w:rFonts w:ascii="Times New Roman Regular" w:hAnsi="Times New Roman Regular"/>
                <w:bCs/>
                <w:szCs w:val="21"/>
              </w:rPr>
            </w:pPr>
            <w:r>
              <w:rPr>
                <w:rFonts w:hint="eastAsia" w:ascii="Times New Roman Regular" w:hAnsi="Times New Roman Regular"/>
                <w:bCs/>
                <w:szCs w:val="21"/>
              </w:rPr>
              <w:t>2</w:t>
            </w:r>
          </w:p>
        </w:tc>
        <w:tc>
          <w:tcPr>
            <w:tcW w:w="1280" w:type="pct"/>
            <w:shd w:val="clear" w:color="auto" w:fill="auto"/>
          </w:tcPr>
          <w:p w14:paraId="1D4B367E">
            <w:pPr>
              <w:spacing w:line="360" w:lineRule="auto"/>
              <w:rPr>
                <w:rFonts w:ascii="Times New Roman Regular" w:hAnsi="Times New Roman Regular"/>
                <w:bCs/>
                <w:szCs w:val="21"/>
              </w:rPr>
            </w:pPr>
            <w:r>
              <w:rPr>
                <w:rFonts w:hint="eastAsia" w:ascii="Times New Roman Regular" w:hAnsi="Times New Roman Regular"/>
                <w:bCs/>
                <w:szCs w:val="21"/>
              </w:rPr>
              <w:t>2025 年 1</w:t>
            </w:r>
            <w:r>
              <w:rPr>
                <w:rFonts w:hint="eastAsia" w:ascii="Times New Roman Regular" w:hAnsi="Times New Roman Regular"/>
                <w:bCs/>
                <w:szCs w:val="21"/>
                <w:lang w:val="en-US" w:eastAsia="zh-CN"/>
              </w:rPr>
              <w:t>2</w:t>
            </w:r>
            <w:r>
              <w:rPr>
                <w:rFonts w:hint="eastAsia" w:ascii="Times New Roman Regular" w:hAnsi="Times New Roman Regular"/>
                <w:bCs/>
                <w:szCs w:val="21"/>
              </w:rPr>
              <w:t xml:space="preserve"> 月</w:t>
            </w:r>
            <w:r>
              <w:rPr>
                <w:rFonts w:hint="eastAsia" w:ascii="Times New Roman Regular" w:hAnsi="Times New Roman Regular"/>
                <w:bCs/>
                <w:szCs w:val="21"/>
                <w:lang w:val="en-US" w:eastAsia="zh-CN"/>
              </w:rPr>
              <w:t>01</w:t>
            </w:r>
            <w:r>
              <w:rPr>
                <w:rFonts w:hint="eastAsia" w:ascii="Times New Roman Regular" w:hAnsi="Times New Roman Regular"/>
                <w:bCs/>
                <w:szCs w:val="21"/>
              </w:rPr>
              <w:t xml:space="preserve"> 日-2026年 </w:t>
            </w:r>
            <w:r>
              <w:rPr>
                <w:rFonts w:hint="eastAsia" w:ascii="Times New Roman Regular" w:hAnsi="Times New Roman Regular"/>
                <w:bCs/>
                <w:szCs w:val="21"/>
                <w:lang w:val="en-US" w:eastAsia="zh-CN"/>
              </w:rPr>
              <w:t>02</w:t>
            </w:r>
            <w:r>
              <w:rPr>
                <w:rFonts w:hint="eastAsia" w:ascii="Times New Roman Regular" w:hAnsi="Times New Roman Regular"/>
                <w:bCs/>
                <w:szCs w:val="21"/>
              </w:rPr>
              <w:t>月</w:t>
            </w:r>
            <w:r>
              <w:rPr>
                <w:rFonts w:hint="eastAsia" w:ascii="Times New Roman Regular" w:hAnsi="Times New Roman Regular"/>
                <w:bCs/>
                <w:szCs w:val="21"/>
                <w:lang w:val="en-US" w:eastAsia="zh-CN"/>
              </w:rPr>
              <w:t>28</w:t>
            </w:r>
            <w:r>
              <w:rPr>
                <w:rFonts w:hint="eastAsia" w:ascii="Times New Roman Regular" w:hAnsi="Times New Roman Regular"/>
                <w:bCs/>
                <w:szCs w:val="21"/>
              </w:rPr>
              <w:t xml:space="preserve"> 日</w:t>
            </w:r>
          </w:p>
        </w:tc>
        <w:tc>
          <w:tcPr>
            <w:tcW w:w="1494" w:type="pct"/>
            <w:shd w:val="clear" w:color="auto" w:fill="auto"/>
          </w:tcPr>
          <w:p w14:paraId="67DDF75D">
            <w:pPr>
              <w:spacing w:line="360" w:lineRule="auto"/>
              <w:rPr>
                <w:rFonts w:hint="eastAsia" w:ascii="Times New Roman Regular" w:hAnsi="Times New Roman Regular" w:eastAsia="宋体"/>
                <w:bCs/>
                <w:szCs w:val="21"/>
                <w:lang w:eastAsia="zh-Hans"/>
              </w:rPr>
            </w:pPr>
            <w:r>
              <w:rPr>
                <w:rFonts w:hint="eastAsia" w:ascii="Times New Roman Regular" w:hAnsi="Times New Roman Regular"/>
                <w:bCs/>
                <w:szCs w:val="21"/>
                <w:lang w:eastAsia="zh-Hans"/>
              </w:rPr>
              <w:t>撰写文献综述</w:t>
            </w:r>
            <w:r>
              <w:rPr>
                <w:rFonts w:hint="eastAsia" w:ascii="Times New Roman Regular" w:hAnsi="Times New Roman Regular"/>
                <w:bCs/>
                <w:szCs w:val="21"/>
                <w:lang w:val="en-US" w:eastAsia="zh-CN"/>
              </w:rPr>
              <w:t>以及</w:t>
            </w:r>
            <w:r>
              <w:rPr>
                <w:rFonts w:hint="eastAsia" w:ascii="Times New Roman Regular" w:hAnsi="Times New Roman Regular"/>
                <w:bCs/>
                <w:szCs w:val="21"/>
                <w:lang w:eastAsia="zh-Hans"/>
              </w:rPr>
              <w:t>开题报告</w:t>
            </w:r>
          </w:p>
        </w:tc>
        <w:tc>
          <w:tcPr>
            <w:tcW w:w="1174" w:type="pct"/>
            <w:shd w:val="clear" w:color="auto" w:fill="auto"/>
          </w:tcPr>
          <w:p w14:paraId="2B5FE2E7">
            <w:pPr>
              <w:spacing w:line="360" w:lineRule="auto"/>
              <w:rPr>
                <w:rFonts w:hint="eastAsia" w:ascii="Times New Roman Regular" w:hAnsi="Times New Roman Regular" w:eastAsia="宋体"/>
                <w:bCs/>
                <w:szCs w:val="21"/>
                <w:lang w:eastAsia="zh-Hans"/>
              </w:rPr>
            </w:pPr>
            <w:r>
              <w:rPr>
                <w:rFonts w:hint="eastAsia" w:ascii="宋体" w:hAnsi="宋体"/>
                <w:bCs/>
                <w:szCs w:val="21"/>
              </w:rPr>
              <w:t>文献综述</w:t>
            </w:r>
            <w:r>
              <w:rPr>
                <w:rFonts w:hint="eastAsia" w:ascii="宋体" w:hAnsi="宋体"/>
                <w:bCs/>
                <w:szCs w:val="21"/>
                <w:lang w:eastAsia="zh-CN"/>
              </w:rPr>
              <w:t>、</w:t>
            </w:r>
            <w:r>
              <w:rPr>
                <w:rFonts w:hint="eastAsia" w:ascii="Times New Roman Regular" w:hAnsi="Times New Roman Regular"/>
                <w:bCs/>
                <w:szCs w:val="21"/>
                <w:lang w:eastAsia="zh-Hans"/>
              </w:rPr>
              <w:t>开题报告</w:t>
            </w:r>
          </w:p>
        </w:tc>
        <w:tc>
          <w:tcPr>
            <w:tcW w:w="561" w:type="pct"/>
            <w:shd w:val="clear" w:color="auto" w:fill="auto"/>
          </w:tcPr>
          <w:p w14:paraId="3E2FB69F">
            <w:pPr>
              <w:spacing w:line="360" w:lineRule="auto"/>
              <w:rPr>
                <w:rFonts w:ascii="Times New Roman Regular" w:hAnsi="Times New Roman Regular"/>
                <w:bCs/>
                <w:szCs w:val="21"/>
              </w:rPr>
            </w:pPr>
          </w:p>
        </w:tc>
      </w:tr>
      <w:tr w14:paraId="2BD3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shd w:val="clear" w:color="auto" w:fill="auto"/>
          </w:tcPr>
          <w:p w14:paraId="2E5CF303">
            <w:pPr>
              <w:spacing w:line="360" w:lineRule="auto"/>
              <w:jc w:val="center"/>
              <w:rPr>
                <w:rFonts w:ascii="Times New Roman Regular" w:hAnsi="Times New Roman Regular"/>
                <w:bCs/>
                <w:szCs w:val="21"/>
              </w:rPr>
            </w:pPr>
            <w:r>
              <w:rPr>
                <w:rFonts w:hint="eastAsia" w:ascii="Times New Roman Regular" w:hAnsi="Times New Roman Regular"/>
                <w:bCs/>
                <w:szCs w:val="21"/>
              </w:rPr>
              <w:t>3</w:t>
            </w:r>
          </w:p>
        </w:tc>
        <w:tc>
          <w:tcPr>
            <w:tcW w:w="1280" w:type="pct"/>
            <w:shd w:val="clear" w:color="auto" w:fill="auto"/>
          </w:tcPr>
          <w:p w14:paraId="608AE77D">
            <w:pPr>
              <w:spacing w:line="360" w:lineRule="auto"/>
              <w:rPr>
                <w:rFonts w:ascii="Times New Roman Regular" w:hAnsi="Times New Roman Regular"/>
                <w:bCs/>
                <w:szCs w:val="21"/>
              </w:rPr>
            </w:pPr>
            <w:r>
              <w:rPr>
                <w:rFonts w:hint="eastAsia" w:ascii="Times New Roman Regular" w:hAnsi="Times New Roman Regular"/>
                <w:bCs/>
                <w:szCs w:val="21"/>
              </w:rPr>
              <w:t>2026 年</w:t>
            </w:r>
            <w:r>
              <w:rPr>
                <w:rFonts w:hint="eastAsia" w:ascii="Times New Roman Regular" w:hAnsi="Times New Roman Regular"/>
                <w:bCs/>
                <w:szCs w:val="21"/>
                <w:lang w:val="en-US" w:eastAsia="zh-CN"/>
              </w:rPr>
              <w:t>03</w:t>
            </w:r>
            <w:r>
              <w:rPr>
                <w:rFonts w:hint="eastAsia" w:ascii="Times New Roman Regular" w:hAnsi="Times New Roman Regular"/>
                <w:bCs/>
                <w:szCs w:val="21"/>
              </w:rPr>
              <w:t xml:space="preserve">月 </w:t>
            </w:r>
            <w:r>
              <w:rPr>
                <w:rFonts w:hint="eastAsia" w:ascii="Times New Roman Regular" w:hAnsi="Times New Roman Regular"/>
                <w:bCs/>
                <w:szCs w:val="21"/>
                <w:lang w:val="en-US" w:eastAsia="zh-CN"/>
              </w:rPr>
              <w:t>01</w:t>
            </w:r>
            <w:r>
              <w:rPr>
                <w:rFonts w:hint="eastAsia" w:ascii="Times New Roman Regular" w:hAnsi="Times New Roman Regular"/>
                <w:bCs/>
                <w:szCs w:val="21"/>
              </w:rPr>
              <w:t>日-2026年0</w:t>
            </w:r>
            <w:r>
              <w:rPr>
                <w:rFonts w:hint="eastAsia" w:ascii="Times New Roman Regular" w:hAnsi="Times New Roman Regular"/>
                <w:bCs/>
                <w:szCs w:val="21"/>
                <w:lang w:val="en-US" w:eastAsia="zh-CN"/>
              </w:rPr>
              <w:t>4</w:t>
            </w:r>
            <w:r>
              <w:rPr>
                <w:rFonts w:hint="eastAsia" w:ascii="Times New Roman Regular" w:hAnsi="Times New Roman Regular"/>
                <w:bCs/>
                <w:szCs w:val="21"/>
              </w:rPr>
              <w:t xml:space="preserve"> 月 </w:t>
            </w:r>
            <w:r>
              <w:rPr>
                <w:rFonts w:hint="eastAsia" w:ascii="Times New Roman Regular" w:hAnsi="Times New Roman Regular"/>
                <w:bCs/>
                <w:szCs w:val="21"/>
                <w:lang w:val="en-US" w:eastAsia="zh-CN"/>
              </w:rPr>
              <w:t>12</w:t>
            </w:r>
            <w:r>
              <w:rPr>
                <w:rFonts w:hint="eastAsia" w:ascii="Times New Roman Regular" w:hAnsi="Times New Roman Regular"/>
                <w:bCs/>
                <w:szCs w:val="21"/>
              </w:rPr>
              <w:t>日</w:t>
            </w:r>
          </w:p>
        </w:tc>
        <w:tc>
          <w:tcPr>
            <w:tcW w:w="1494" w:type="pct"/>
            <w:shd w:val="clear" w:color="auto" w:fill="auto"/>
          </w:tcPr>
          <w:p w14:paraId="4DB582A6">
            <w:pPr>
              <w:spacing w:line="360" w:lineRule="auto"/>
              <w:rPr>
                <w:rFonts w:ascii="Times New Roman Regular" w:hAnsi="Times New Roman Regular"/>
                <w:bCs/>
                <w:szCs w:val="21"/>
              </w:rPr>
            </w:pPr>
            <w:r>
              <w:rPr>
                <w:rFonts w:hint="eastAsia" w:ascii="Times New Roman Regular" w:hAnsi="Times New Roman Regular"/>
                <w:bCs/>
                <w:szCs w:val="21"/>
              </w:rPr>
              <w:t>修改完善论文，定稿</w:t>
            </w:r>
          </w:p>
        </w:tc>
        <w:tc>
          <w:tcPr>
            <w:tcW w:w="1174" w:type="pct"/>
            <w:shd w:val="clear" w:color="auto" w:fill="auto"/>
          </w:tcPr>
          <w:p w14:paraId="10E7A075">
            <w:pPr>
              <w:spacing w:line="360" w:lineRule="auto"/>
              <w:rPr>
                <w:rFonts w:ascii="Times New Roman Regular" w:hAnsi="Times New Roman Regular"/>
                <w:bCs/>
                <w:szCs w:val="21"/>
              </w:rPr>
            </w:pPr>
            <w:r>
              <w:rPr>
                <w:rFonts w:hint="eastAsia" w:ascii="Times New Roman Regular" w:hAnsi="Times New Roman Regular"/>
                <w:bCs/>
                <w:szCs w:val="21"/>
              </w:rPr>
              <w:t>论文</w:t>
            </w:r>
          </w:p>
        </w:tc>
        <w:tc>
          <w:tcPr>
            <w:tcW w:w="561" w:type="pct"/>
            <w:shd w:val="clear" w:color="auto" w:fill="auto"/>
          </w:tcPr>
          <w:p w14:paraId="2981D9B9">
            <w:pPr>
              <w:spacing w:line="360" w:lineRule="auto"/>
              <w:rPr>
                <w:rFonts w:ascii="Times New Roman Regular" w:hAnsi="Times New Roman Regular"/>
                <w:bCs/>
                <w:szCs w:val="21"/>
              </w:rPr>
            </w:pPr>
          </w:p>
        </w:tc>
      </w:tr>
      <w:tr w14:paraId="3592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shd w:val="clear" w:color="auto" w:fill="auto"/>
          </w:tcPr>
          <w:p w14:paraId="2B3B48D4">
            <w:pPr>
              <w:spacing w:line="360" w:lineRule="auto"/>
              <w:jc w:val="center"/>
              <w:rPr>
                <w:rFonts w:ascii="Times New Roman Regular" w:hAnsi="Times New Roman Regular"/>
                <w:bCs/>
                <w:szCs w:val="21"/>
              </w:rPr>
            </w:pPr>
            <w:r>
              <w:rPr>
                <w:rFonts w:hint="eastAsia" w:ascii="Times New Roman Regular" w:hAnsi="Times New Roman Regular"/>
                <w:bCs/>
                <w:szCs w:val="21"/>
              </w:rPr>
              <w:t>4</w:t>
            </w:r>
          </w:p>
        </w:tc>
        <w:tc>
          <w:tcPr>
            <w:tcW w:w="1280" w:type="pct"/>
            <w:shd w:val="clear" w:color="auto" w:fill="auto"/>
          </w:tcPr>
          <w:p w14:paraId="3CB7755E">
            <w:pPr>
              <w:spacing w:line="360" w:lineRule="auto"/>
              <w:rPr>
                <w:rFonts w:ascii="Times New Roman Regular" w:hAnsi="Times New Roman Regular"/>
                <w:bCs/>
                <w:szCs w:val="21"/>
              </w:rPr>
            </w:pPr>
            <w:r>
              <w:rPr>
                <w:rFonts w:hint="eastAsia" w:ascii="Times New Roman Regular" w:hAnsi="Times New Roman Regular"/>
                <w:bCs/>
                <w:szCs w:val="21"/>
              </w:rPr>
              <w:t>2026年 0</w:t>
            </w:r>
            <w:r>
              <w:rPr>
                <w:rFonts w:hint="eastAsia" w:ascii="Times New Roman Regular" w:hAnsi="Times New Roman Regular"/>
                <w:bCs/>
                <w:szCs w:val="21"/>
                <w:lang w:val="en-US" w:eastAsia="zh-CN"/>
              </w:rPr>
              <w:t>4</w:t>
            </w:r>
            <w:r>
              <w:rPr>
                <w:rFonts w:hint="eastAsia" w:ascii="Times New Roman Regular" w:hAnsi="Times New Roman Regular"/>
                <w:bCs/>
                <w:szCs w:val="21"/>
              </w:rPr>
              <w:t xml:space="preserve"> 月 </w:t>
            </w:r>
            <w:r>
              <w:rPr>
                <w:rFonts w:hint="eastAsia" w:ascii="Times New Roman Regular" w:hAnsi="Times New Roman Regular"/>
                <w:bCs/>
                <w:szCs w:val="21"/>
                <w:lang w:val="en-US" w:eastAsia="zh-CN"/>
              </w:rPr>
              <w:t>13</w:t>
            </w:r>
            <w:r>
              <w:rPr>
                <w:rFonts w:hint="eastAsia" w:ascii="Times New Roman Regular" w:hAnsi="Times New Roman Regular"/>
                <w:bCs/>
                <w:szCs w:val="21"/>
              </w:rPr>
              <w:t xml:space="preserve"> 日-2026年 04月</w:t>
            </w:r>
            <w:r>
              <w:rPr>
                <w:rFonts w:hint="eastAsia" w:ascii="Times New Roman Regular" w:hAnsi="Times New Roman Regular"/>
                <w:bCs/>
                <w:szCs w:val="21"/>
                <w:lang w:val="en-US" w:eastAsia="zh-CN"/>
              </w:rPr>
              <w:t>20</w:t>
            </w:r>
            <w:r>
              <w:rPr>
                <w:rFonts w:hint="eastAsia" w:ascii="Times New Roman Regular" w:hAnsi="Times New Roman Regular"/>
                <w:bCs/>
                <w:szCs w:val="21"/>
              </w:rPr>
              <w:t>日</w:t>
            </w:r>
          </w:p>
        </w:tc>
        <w:tc>
          <w:tcPr>
            <w:tcW w:w="1494" w:type="pct"/>
            <w:shd w:val="clear" w:color="auto" w:fill="auto"/>
          </w:tcPr>
          <w:p w14:paraId="4B785AF5">
            <w:pPr>
              <w:spacing w:line="360" w:lineRule="auto"/>
              <w:rPr>
                <w:rFonts w:hint="default" w:ascii="Times New Roman Regular" w:hAnsi="Times New Roman Regular" w:eastAsia="宋体"/>
                <w:bCs/>
                <w:szCs w:val="21"/>
                <w:lang w:val="en-US" w:eastAsia="zh-CN"/>
              </w:rPr>
            </w:pPr>
            <w:r>
              <w:rPr>
                <w:rFonts w:hint="eastAsia" w:ascii="Times New Roman Regular" w:hAnsi="Times New Roman Regular"/>
                <w:bCs/>
                <w:szCs w:val="21"/>
                <w:lang w:val="en-US" w:eastAsia="zh-CN"/>
              </w:rPr>
              <w:t>论文外审</w:t>
            </w:r>
          </w:p>
        </w:tc>
        <w:tc>
          <w:tcPr>
            <w:tcW w:w="1174" w:type="pct"/>
            <w:shd w:val="clear" w:color="auto" w:fill="auto"/>
          </w:tcPr>
          <w:p w14:paraId="701A361D">
            <w:pPr>
              <w:spacing w:line="360" w:lineRule="auto"/>
              <w:rPr>
                <w:rFonts w:hint="default" w:ascii="Times New Roman Regular" w:hAnsi="Times New Roman Regular" w:eastAsia="宋体"/>
                <w:bCs/>
                <w:szCs w:val="21"/>
                <w:lang w:val="en-US" w:eastAsia="zh-CN"/>
              </w:rPr>
            </w:pPr>
            <w:r>
              <w:rPr>
                <w:rFonts w:hint="eastAsia" w:ascii="Times New Roman Regular" w:hAnsi="Times New Roman Regular"/>
                <w:bCs/>
                <w:szCs w:val="21"/>
                <w:lang w:val="en-US" w:eastAsia="zh-CN"/>
              </w:rPr>
              <w:t>外审材料</w:t>
            </w:r>
          </w:p>
        </w:tc>
        <w:tc>
          <w:tcPr>
            <w:tcW w:w="561" w:type="pct"/>
            <w:shd w:val="clear" w:color="auto" w:fill="auto"/>
          </w:tcPr>
          <w:p w14:paraId="01446318">
            <w:pPr>
              <w:spacing w:line="360" w:lineRule="auto"/>
              <w:rPr>
                <w:rFonts w:ascii="Times New Roman Regular" w:hAnsi="Times New Roman Regular"/>
                <w:bCs/>
                <w:szCs w:val="21"/>
              </w:rPr>
            </w:pPr>
          </w:p>
        </w:tc>
      </w:tr>
      <w:tr w14:paraId="6CD2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0" w:type="pct"/>
            <w:shd w:val="clear" w:color="auto" w:fill="auto"/>
          </w:tcPr>
          <w:p w14:paraId="5F8E7597">
            <w:pPr>
              <w:spacing w:line="360" w:lineRule="auto"/>
              <w:jc w:val="center"/>
              <w:rPr>
                <w:rFonts w:ascii="Times New Roman Regular" w:hAnsi="Times New Roman Regular"/>
                <w:bCs/>
                <w:szCs w:val="21"/>
              </w:rPr>
            </w:pPr>
            <w:r>
              <w:rPr>
                <w:rFonts w:hint="eastAsia" w:ascii="Times New Roman Regular" w:hAnsi="Times New Roman Regular"/>
                <w:bCs/>
                <w:szCs w:val="21"/>
              </w:rPr>
              <w:t>5</w:t>
            </w:r>
          </w:p>
        </w:tc>
        <w:tc>
          <w:tcPr>
            <w:tcW w:w="1280" w:type="pct"/>
            <w:shd w:val="clear" w:color="auto" w:fill="auto"/>
          </w:tcPr>
          <w:p w14:paraId="5EDE668A">
            <w:pPr>
              <w:spacing w:line="360" w:lineRule="auto"/>
              <w:rPr>
                <w:rFonts w:ascii="Times New Roman Regular" w:hAnsi="Times New Roman Regular"/>
                <w:bCs/>
                <w:szCs w:val="21"/>
              </w:rPr>
            </w:pPr>
            <w:r>
              <w:rPr>
                <w:rFonts w:hint="eastAsia" w:ascii="Times New Roman Regular" w:hAnsi="Times New Roman Regular"/>
                <w:bCs/>
                <w:szCs w:val="21"/>
              </w:rPr>
              <w:t xml:space="preserve">2026 年 04 月 </w:t>
            </w:r>
            <w:r>
              <w:rPr>
                <w:rFonts w:hint="eastAsia" w:ascii="Times New Roman Regular" w:hAnsi="Times New Roman Regular"/>
                <w:bCs/>
                <w:szCs w:val="21"/>
                <w:lang w:val="en-US" w:eastAsia="zh-CN"/>
              </w:rPr>
              <w:t>21</w:t>
            </w:r>
            <w:r>
              <w:rPr>
                <w:rFonts w:hint="eastAsia" w:ascii="Times New Roman Regular" w:hAnsi="Times New Roman Regular"/>
                <w:bCs/>
                <w:szCs w:val="21"/>
              </w:rPr>
              <w:t>日-2026 年 04 月</w:t>
            </w:r>
            <w:r>
              <w:rPr>
                <w:rFonts w:hint="eastAsia" w:ascii="Times New Roman Regular" w:hAnsi="Times New Roman Regular"/>
                <w:bCs/>
                <w:szCs w:val="21"/>
                <w:lang w:val="en-US" w:eastAsia="zh-CN"/>
              </w:rPr>
              <w:t>27</w:t>
            </w:r>
            <w:r>
              <w:rPr>
                <w:rFonts w:hint="eastAsia" w:ascii="Times New Roman Regular" w:hAnsi="Times New Roman Regular"/>
                <w:bCs/>
                <w:szCs w:val="21"/>
              </w:rPr>
              <w:t>日</w:t>
            </w:r>
          </w:p>
        </w:tc>
        <w:tc>
          <w:tcPr>
            <w:tcW w:w="1494" w:type="pct"/>
            <w:shd w:val="clear" w:color="auto" w:fill="auto"/>
          </w:tcPr>
          <w:p w14:paraId="2EE8413F">
            <w:pPr>
              <w:spacing w:line="360" w:lineRule="auto"/>
              <w:rPr>
                <w:rFonts w:ascii="Times New Roman Regular" w:hAnsi="Times New Roman Regular"/>
                <w:bCs/>
                <w:szCs w:val="21"/>
              </w:rPr>
            </w:pPr>
            <w:r>
              <w:rPr>
                <w:rFonts w:hint="eastAsia" w:ascii="Times New Roman Regular" w:hAnsi="Times New Roman Regular"/>
                <w:bCs/>
                <w:szCs w:val="21"/>
              </w:rPr>
              <w:t>准备答辩</w:t>
            </w:r>
          </w:p>
        </w:tc>
        <w:tc>
          <w:tcPr>
            <w:tcW w:w="1174" w:type="pct"/>
            <w:shd w:val="clear" w:color="auto" w:fill="auto"/>
          </w:tcPr>
          <w:p w14:paraId="0A86533B">
            <w:pPr>
              <w:spacing w:line="360" w:lineRule="auto"/>
              <w:rPr>
                <w:rFonts w:ascii="Times New Roman Regular" w:hAnsi="Times New Roman Regular"/>
                <w:bCs/>
                <w:szCs w:val="21"/>
              </w:rPr>
            </w:pPr>
            <w:r>
              <w:rPr>
                <w:rFonts w:hint="eastAsia" w:ascii="Times New Roman Regular" w:hAnsi="Times New Roman Regular"/>
                <w:bCs/>
                <w:szCs w:val="21"/>
              </w:rPr>
              <w:t>答辩材料</w:t>
            </w:r>
          </w:p>
        </w:tc>
        <w:tc>
          <w:tcPr>
            <w:tcW w:w="561" w:type="pct"/>
            <w:shd w:val="clear" w:color="auto" w:fill="auto"/>
          </w:tcPr>
          <w:p w14:paraId="0152B6D1">
            <w:pPr>
              <w:spacing w:line="360" w:lineRule="auto"/>
              <w:rPr>
                <w:rFonts w:ascii="Times New Roman Regular" w:hAnsi="Times New Roman Regular"/>
                <w:bCs/>
                <w:szCs w:val="21"/>
              </w:rPr>
            </w:pPr>
          </w:p>
        </w:tc>
      </w:tr>
    </w:tbl>
    <w:p w14:paraId="5739DF1D">
      <w:pPr>
        <w:pStyle w:val="2"/>
        <w:bidi w:val="0"/>
        <w:rPr>
          <w:rFonts w:hint="eastAsia" w:ascii="Times New Roman Regular" w:hAnsi="Times New Roman Regular" w:eastAsia="黑体" w:cs="黑体"/>
          <w:sz w:val="28"/>
          <w:szCs w:val="28"/>
        </w:rPr>
      </w:pPr>
      <w:r>
        <w:rPr>
          <w:rFonts w:hint="eastAsia" w:ascii="Times New Roman Regular" w:hAnsi="Times New Roman Regular" w:eastAsia="黑体" w:cs="黑体"/>
          <w:sz w:val="28"/>
          <w:szCs w:val="28"/>
        </w:rPr>
        <w:t>九、主要参考文献</w:t>
      </w:r>
    </w:p>
    <w:p w14:paraId="527B10B8">
      <w:pPr>
        <w:numPr>
          <w:ilvl w:val="0"/>
          <w:numId w:val="1"/>
        </w:numPr>
        <w:bidi w:val="0"/>
        <w:spacing w:line="360" w:lineRule="auto"/>
        <w:ind w:left="-403" w:leftChars="0" w:firstLine="403" w:firstLineChars="0"/>
        <w:rPr>
          <w:rFonts w:hint="eastAsia" w:ascii="Times New Roman Regular" w:hAnsi="Times New Roman Regular" w:eastAsiaTheme="minorEastAsia" w:cstheme="minorEastAsia"/>
          <w:sz w:val="21"/>
          <w:szCs w:val="21"/>
          <w:lang w:val="en-US" w:eastAsia="zh-CN"/>
        </w:rPr>
      </w:pPr>
      <w:bookmarkStart w:id="0" w:name="_Ref1398708886"/>
      <w:r>
        <w:rPr>
          <w:rFonts w:hint="eastAsia" w:ascii="Times New Roman Regular" w:hAnsi="Times New Roman Regular" w:eastAsiaTheme="minorEastAsia" w:cstheme="minorEastAsia"/>
          <w:sz w:val="21"/>
          <w:szCs w:val="21"/>
          <w:lang w:val="en-US" w:eastAsia="zh-CN"/>
        </w:rPr>
        <w:t xml:space="preserve">中共中央 国务院. 教育强国建设规划纲要（2024—2035年）[EB/OL]. 北京: 中国政府网运行中心, 2025(2025-01-19)[2026-03-10]. </w:t>
      </w:r>
      <w:r>
        <w:rPr>
          <w:rFonts w:hint="eastAsia" w:ascii="Times New Roman Regular" w:hAnsi="Times New Roman Regular" w:eastAsiaTheme="minorEastAsia" w:cstheme="minorEastAsia"/>
          <w:sz w:val="21"/>
          <w:szCs w:val="21"/>
          <w:lang w:val="en-US" w:eastAsia="zh-CN"/>
        </w:rPr>
        <w:fldChar w:fldCharType="begin"/>
      </w:r>
      <w:r>
        <w:rPr>
          <w:rFonts w:hint="eastAsia" w:ascii="Times New Roman Regular" w:hAnsi="Times New Roman Regular" w:eastAsiaTheme="minorEastAsia" w:cstheme="minorEastAsia"/>
          <w:sz w:val="21"/>
          <w:szCs w:val="21"/>
          <w:lang w:val="en-US" w:eastAsia="zh-CN"/>
        </w:rPr>
        <w:instrText xml:space="preserve"> HYPERLINK "https://www.gov.cn/gongbao/2025/issue_11846/202502/content_7002799.html." </w:instrText>
      </w:r>
      <w:r>
        <w:rPr>
          <w:rFonts w:hint="eastAsia" w:ascii="Times New Roman Regular" w:hAnsi="Times New Roman Regular" w:eastAsiaTheme="minorEastAsia" w:cstheme="minorEastAsia"/>
          <w:sz w:val="21"/>
          <w:szCs w:val="21"/>
          <w:lang w:val="en-US" w:eastAsia="zh-CN"/>
        </w:rPr>
        <w:fldChar w:fldCharType="separate"/>
      </w:r>
      <w:r>
        <w:rPr>
          <w:rStyle w:val="5"/>
          <w:rFonts w:hint="eastAsia" w:ascii="Times New Roman Regular" w:hAnsi="Times New Roman Regular" w:eastAsiaTheme="minorEastAsia" w:cstheme="minorEastAsia"/>
          <w:sz w:val="21"/>
          <w:szCs w:val="21"/>
          <w:lang w:val="en-US" w:eastAsia="zh-CN"/>
        </w:rPr>
        <w:t>https://www.gov.cn/gongbao/2025/issue_11846/202502/content_7002799.html.</w:t>
      </w:r>
      <w:r>
        <w:rPr>
          <w:rFonts w:hint="eastAsia" w:ascii="Times New Roman Regular" w:hAnsi="Times New Roman Regular" w:eastAsiaTheme="minorEastAsia" w:cstheme="minorEastAsia"/>
          <w:sz w:val="21"/>
          <w:szCs w:val="21"/>
          <w:lang w:val="en-US" w:eastAsia="zh-CN"/>
        </w:rPr>
        <w:fldChar w:fldCharType="end"/>
      </w:r>
    </w:p>
    <w:bookmarkEnd w:id="0"/>
    <w:p w14:paraId="4C733DD6">
      <w:pPr>
        <w:numPr>
          <w:ilvl w:val="0"/>
          <w:numId w:val="1"/>
        </w:numPr>
        <w:bidi w:val="0"/>
        <w:spacing w:line="360" w:lineRule="auto"/>
        <w:ind w:left="-403" w:leftChars="0" w:firstLine="403" w:firstLineChars="0"/>
        <w:rPr>
          <w:rFonts w:hint="eastAsia" w:ascii="Times New Roman Regular" w:hAnsi="Times New Roman Regular" w:eastAsiaTheme="minorEastAsia" w:cstheme="minorEastAsia"/>
          <w:sz w:val="21"/>
          <w:szCs w:val="21"/>
          <w:lang w:val="en-US" w:eastAsia="zh-CN"/>
        </w:rPr>
      </w:pPr>
      <w:r>
        <w:rPr>
          <w:rFonts w:hint="eastAsia" w:ascii="Times New Roman Regular" w:hAnsi="Times New Roman Regular" w:eastAsiaTheme="minorEastAsia" w:cstheme="minorEastAsia"/>
          <w:sz w:val="21"/>
          <w:szCs w:val="21"/>
          <w:lang w:val="en-US" w:eastAsia="zh-CN"/>
        </w:rPr>
        <w:t xml:space="preserve">教育部办公厅. 关于印发《国家教育数字化战略行动2024年工作要点》的通知（教办厅函〔2024〕32号）[EB/OL]. 青岛: 海洋生命科学国家级实验教学示范中心（中国海洋大学）, 2024(2024-05-15)[2026-03-10]. </w:t>
      </w:r>
      <w:r>
        <w:rPr>
          <w:rFonts w:hint="eastAsia" w:ascii="Times New Roman Regular" w:hAnsi="Times New Roman Regular" w:eastAsiaTheme="minorEastAsia" w:cstheme="minorEastAsia"/>
          <w:sz w:val="21"/>
          <w:szCs w:val="21"/>
          <w:lang w:val="en-US" w:eastAsia="zh-CN"/>
        </w:rPr>
        <w:fldChar w:fldCharType="begin"/>
      </w:r>
      <w:r>
        <w:rPr>
          <w:rFonts w:hint="eastAsia" w:ascii="Times New Roman Regular" w:hAnsi="Times New Roman Regular" w:eastAsiaTheme="minorEastAsia" w:cstheme="minorEastAsia"/>
          <w:sz w:val="21"/>
          <w:szCs w:val="21"/>
          <w:lang w:val="en-US" w:eastAsia="zh-CN"/>
        </w:rPr>
        <w:instrText xml:space="preserve"> HYPERLINK "https://mlsec.ouc.edu.cn/2024/1227/" </w:instrText>
      </w:r>
      <w:r>
        <w:rPr>
          <w:rFonts w:hint="eastAsia" w:ascii="Times New Roman Regular" w:hAnsi="Times New Roman Regular" w:eastAsiaTheme="minorEastAsia" w:cstheme="minorEastAsia"/>
          <w:sz w:val="21"/>
          <w:szCs w:val="21"/>
          <w:lang w:val="en-US" w:eastAsia="zh-CN"/>
        </w:rPr>
        <w:fldChar w:fldCharType="separate"/>
      </w:r>
      <w:r>
        <w:rPr>
          <w:rStyle w:val="5"/>
          <w:rFonts w:hint="eastAsia" w:ascii="Times New Roman Regular" w:hAnsi="Times New Roman Regular" w:eastAsiaTheme="minorEastAsia" w:cstheme="minorEastAsia"/>
          <w:sz w:val="21"/>
          <w:szCs w:val="21"/>
          <w:lang w:val="en-US" w:eastAsia="zh-CN"/>
        </w:rPr>
        <w:t>https://mlsec.ouc.edu.cn/2024/1227/</w:t>
      </w:r>
      <w:r>
        <w:rPr>
          <w:rFonts w:hint="eastAsia" w:ascii="Times New Roman Regular" w:hAnsi="Times New Roman Regular" w:eastAsiaTheme="minorEastAsia" w:cstheme="minorEastAsia"/>
          <w:sz w:val="21"/>
          <w:szCs w:val="21"/>
          <w:lang w:val="en-US" w:eastAsia="zh-CN"/>
        </w:rPr>
        <w:fldChar w:fldCharType="end"/>
      </w:r>
    </w:p>
    <w:p w14:paraId="1BBB55C6">
      <w:pPr>
        <w:numPr>
          <w:ilvl w:val="0"/>
          <w:numId w:val="0"/>
        </w:numPr>
        <w:bidi w:val="0"/>
        <w:spacing w:line="360" w:lineRule="auto"/>
        <w:ind w:leftChars="0"/>
        <w:rPr>
          <w:rFonts w:hint="eastAsia" w:ascii="Times New Roman Regular" w:hAnsi="Times New Roman Regular" w:eastAsiaTheme="minorEastAsia" w:cstheme="minorEastAsia"/>
          <w:sz w:val="21"/>
          <w:szCs w:val="21"/>
          <w:lang w:val="en-US" w:eastAsia="zh-CN"/>
        </w:rPr>
      </w:pPr>
      <w:bookmarkStart w:id="1" w:name="_Ref1399482008"/>
      <w:r>
        <w:rPr>
          <w:rFonts w:hint="eastAsia" w:ascii="Times New Roman Regular" w:hAnsi="Times New Roman Regular" w:eastAsiaTheme="minorEastAsia" w:cstheme="minorEastAsia"/>
          <w:sz w:val="21"/>
          <w:szCs w:val="21"/>
          <w:lang w:val="en-US" w:eastAsia="zh-CN"/>
        </w:rPr>
        <w:t>[15] 徐刚, 刘志鹏, 冯骐, 等. 大语言模型在教育信息化中的实践：规范、框架与应用[J]. 通信学报, 2024, 45(Z2): 229-241. DOI:10.11959/j.issn.1000-436x.2024249.</w:t>
      </w:r>
    </w:p>
    <w:bookmarkEnd w:id="1"/>
    <w:p w14:paraId="5CAFAF4E">
      <w:pPr>
        <w:numPr>
          <w:ilvl w:val="0"/>
          <w:numId w:val="1"/>
        </w:numPr>
        <w:bidi w:val="0"/>
        <w:spacing w:line="360" w:lineRule="auto"/>
        <w:ind w:left="-403" w:leftChars="0" w:firstLine="403" w:firstLineChars="0"/>
        <w:rPr>
          <w:rFonts w:hint="eastAsia" w:ascii="Times New Roman Regular" w:hAnsi="Times New Roman Regular" w:eastAsiaTheme="minorEastAsia" w:cstheme="minorEastAsia"/>
          <w:sz w:val="21"/>
          <w:szCs w:val="21"/>
          <w:lang w:val="en-US" w:eastAsia="zh-CN"/>
        </w:rPr>
      </w:pPr>
      <w:bookmarkStart w:id="2" w:name="_Ref1414457045"/>
      <w:bookmarkStart w:id="3" w:name="_Ref1398053413"/>
      <w:r>
        <w:rPr>
          <w:rFonts w:hint="eastAsia" w:ascii="Times New Roman Regular" w:hAnsi="Times New Roman Regular" w:eastAsiaTheme="minorEastAsia" w:cstheme="minorEastAsia"/>
          <w:sz w:val="21"/>
          <w:szCs w:val="21"/>
          <w:lang w:val="en-US" w:eastAsia="zh-CN"/>
        </w:rPr>
        <w:t>Ricci F, Rokach L, Shapira B, et al. Recommender Systems Handbook[M]. New York: Springer, 2011. DOI:10.1007/978-0-387-85820-3.</w:t>
      </w:r>
    </w:p>
    <w:bookmarkEnd w:id="2"/>
    <w:p w14:paraId="0D6966E9">
      <w:pPr>
        <w:numPr>
          <w:ilvl w:val="0"/>
          <w:numId w:val="1"/>
        </w:numPr>
        <w:bidi w:val="0"/>
        <w:spacing w:line="360" w:lineRule="auto"/>
        <w:ind w:left="-403" w:leftChars="0" w:firstLine="403" w:firstLineChars="0"/>
        <w:rPr>
          <w:rFonts w:hint="default" w:ascii="Times New Roman Regular" w:hAnsi="Times New Roman Regular" w:eastAsiaTheme="minorEastAsia" w:cstheme="minorEastAsia"/>
          <w:sz w:val="21"/>
          <w:szCs w:val="21"/>
          <w:lang w:val="en-US" w:eastAsia="zh-CN"/>
        </w:rPr>
      </w:pPr>
      <w:bookmarkStart w:id="4" w:name="_Ref163005944"/>
      <w:r>
        <w:rPr>
          <w:rFonts w:hint="eastAsia" w:ascii="Times New Roman Regular" w:hAnsi="Times New Roman Regular" w:eastAsiaTheme="minorEastAsia" w:cstheme="minorEastAsia"/>
          <w:sz w:val="21"/>
          <w:szCs w:val="21"/>
          <w:lang w:val="en-US" w:eastAsia="zh-CN"/>
        </w:rPr>
        <w:t>Burke R. Hybrid Recommender Systems: Survey and Experiments[J]. User Modeling and User-Adapted Interaction, 2002, 12(4): 331-370. DOI:10.1023/A:1021240730564.</w:t>
      </w:r>
    </w:p>
    <w:bookmarkEnd w:id="4"/>
    <w:p w14:paraId="712902DB">
      <w:pPr>
        <w:numPr>
          <w:ilvl w:val="0"/>
          <w:numId w:val="1"/>
        </w:numPr>
        <w:bidi w:val="0"/>
        <w:spacing w:line="360" w:lineRule="auto"/>
        <w:ind w:left="-403" w:leftChars="0" w:firstLine="403" w:firstLineChars="0"/>
        <w:rPr>
          <w:rFonts w:hint="eastAsia" w:ascii="Times New Roman Regular" w:hAnsi="Times New Roman Regular" w:eastAsiaTheme="minorEastAsia" w:cstheme="minorEastAsia"/>
          <w:sz w:val="21"/>
          <w:szCs w:val="21"/>
          <w:lang w:val="en-US" w:eastAsia="zh-CN"/>
        </w:rPr>
      </w:pPr>
      <w:bookmarkStart w:id="5" w:name="_Ref35814240"/>
      <w:r>
        <w:rPr>
          <w:rFonts w:hint="default" w:ascii="Times New Roman Regular" w:hAnsi="Times New Roman Regular" w:eastAsiaTheme="minorEastAsia" w:cstheme="minorEastAsia"/>
          <w:sz w:val="21"/>
          <w:szCs w:val="21"/>
          <w:lang w:val="en-US" w:eastAsia="zh-CN"/>
        </w:rPr>
        <w:t>Salton G, Wong A, Yang C S. A Vector Space Model for Automatic Indexing[J]. Communications of the ACM, 1975, 18(11): 613-620. DOI:10.1145/361219.361220.</w:t>
      </w:r>
      <w:bookmarkEnd w:id="3"/>
      <w:bookmarkEnd w:id="5"/>
      <w:bookmarkStart w:id="6" w:name="_Ref994296971"/>
    </w:p>
    <w:bookmarkEnd w:id="6"/>
    <w:p w14:paraId="04293518">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bookmarkStart w:id="7" w:name="_Ref995826408"/>
      <w:r>
        <w:rPr>
          <w:rFonts w:hint="default" w:ascii="Times New Roman Regular" w:hAnsi="Times New Roman Regular" w:cs="Times New Roman Regular" w:eastAsiaTheme="minorEastAsia"/>
          <w:sz w:val="21"/>
          <w:szCs w:val="21"/>
          <w:lang w:val="en-US" w:eastAsia="zh-CN"/>
        </w:rPr>
        <w:t>Manning C D, Raghavan P, Schütze H. Introduction to Information Retrieval[M]. Cambridge: Cambridge University Press, 2008.</w:t>
      </w:r>
    </w:p>
    <w:p w14:paraId="1D1B695F">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Devlin J, Chang M W, Lee K, et al. BERT: Pre-training of Deep Bidirectional Transformers for Language Understanding[C/OL]//Proceedings of the 2019 Conference of the North American Chapter of the Association for Computational Linguistics: Human Language Technologies, Volume 1 (Long and Short Papers). Minneapolis, Minnesota: Association for Computational Linguistics, 2019: 4171-4186[2026-03-10]. https://aclanthology.org/N19-1423/. DOI:10.18653/v1/N19-1423.</w:t>
      </w:r>
    </w:p>
    <w:p w14:paraId="5F0EA90C">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Reimers N, Gurevych I. Sentence-BERT: Sentence Embeddings using Siamese BERT-Networks[C/OL]//Proceedings of the 2019 Conference on Empirical Methods in Natural Language Processing and the 9th International Joint Conference on Natural Language Processing (EMNLP-IJCNLP). Hong Kong, China: Association for Computational Linguistics, 2019: 3982-3992[2026-03-10]. https://aclanthology.org/D19-1410/. DOI:10.18653/v1/D19-1410.</w:t>
      </w:r>
    </w:p>
    <w:p w14:paraId="5DA06103">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Xiao S, Liu Z, Zhang P, et al. C-Pack: Packed Resources For General Chinese Embeddings[J/OL]. Ithaca: arXiv, 2023(2024-09-24)[2026-03-10]. https://arxiv.org/abs/2309.07597. DOI:10.48550/arXiv.2309.07597.</w:t>
      </w:r>
    </w:p>
    <w:p w14:paraId="1B6C9AA7">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van der Aalst W M P, ter Hofstede A H M, Kiepuszewski B, et al. Workflow Patterns[J]. Distributed and Parallel Databases, 2003, 14(1): 5-51. DOI:10.1023/A:1022883727209.</w:t>
      </w:r>
    </w:p>
    <w:p w14:paraId="634FEB37">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Manlove D F, O'Malley G. Student-project allocation with preferences over projects[J]. Journal of Discrete Algorithms, 2008, 6(4): 553-560. DOI:10.1016/j.jda.2008.07.003.</w:t>
      </w:r>
    </w:p>
    <w:p w14:paraId="7A180884">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Sanchez-Anguix V, Chalumuri R, Aydoğan R, et al. A near Pareto optimal approach to student–supervisor allocation with two sided preferences and workload balance[J]. Applied Soft Computing, 2019, 76: 1-15. DOI:10.1016/j.asoc.2018.11.049.</w:t>
      </w:r>
    </w:p>
    <w:p w14:paraId="6594FB85">
      <w:pPr>
        <w:keepNext w:val="0"/>
        <w:keepLines w:val="0"/>
        <w:widowControl/>
        <w:numPr>
          <w:ilvl w:val="0"/>
          <w:numId w:val="1"/>
        </w:numPr>
        <w:suppressLineNumbers w:val="0"/>
        <w:spacing w:line="360" w:lineRule="auto"/>
        <w:ind w:left="-403" w:leftChars="0" w:firstLine="403" w:firstLineChars="0"/>
        <w:jc w:val="left"/>
        <w:rPr>
          <w:rFonts w:hint="default"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Brown T B, Mann B, Ryder N, et al. Language Models are Few-Shot Learners[J/OL]. Ithaca: arXiv, 2020(2020-07-22)[2026-03-10]. https://arxiv.org/abs/2005.14165. DOI:10.48550/arXiv.2005.14165.</w:t>
      </w:r>
    </w:p>
    <w:p w14:paraId="03184630">
      <w:pPr>
        <w:keepNext w:val="0"/>
        <w:keepLines w:val="0"/>
        <w:widowControl/>
        <w:numPr>
          <w:ilvl w:val="0"/>
          <w:numId w:val="1"/>
        </w:numPr>
        <w:suppressLineNumbers w:val="0"/>
        <w:spacing w:line="360" w:lineRule="auto"/>
        <w:ind w:left="-403" w:leftChars="0" w:firstLine="403" w:firstLineChars="0"/>
        <w:jc w:val="left"/>
        <w:rPr>
          <w:rFonts w:hint="eastAsia" w:ascii="Times New Roman Regular" w:hAnsi="Times New Roman Regular" w:cs="Times New Roman Regular" w:eastAsiaTheme="minorEastAsia"/>
          <w:sz w:val="21"/>
          <w:szCs w:val="21"/>
          <w:lang w:val="en-US" w:eastAsia="zh-CN"/>
        </w:rPr>
      </w:pPr>
      <w:r>
        <w:rPr>
          <w:rFonts w:hint="default" w:ascii="Times New Roman Regular" w:hAnsi="Times New Roman Regular" w:cs="Times New Roman Regular" w:eastAsiaTheme="minorEastAsia"/>
          <w:sz w:val="21"/>
          <w:szCs w:val="21"/>
          <w:lang w:val="en-US" w:eastAsia="zh-CN"/>
        </w:rPr>
        <w:t>Liu P, Yuan W, Fu J, et al. Pre-train, Prompt, and Predict: A Systematic Survey of Prompting Methods in Natural Language Processing[J]. ACM Computing Surveys, 2023. DOI:10.1145/3560815.</w:t>
      </w:r>
      <w:r>
        <w:rPr>
          <w:rFonts w:hint="eastAsia" w:ascii="Times New Roman Regular" w:hAnsi="Times New Roman Regular" w:cs="Times New Roman Regular" w:eastAsiaTheme="minorEastAsia"/>
          <w:sz w:val="21"/>
          <w:szCs w:val="21"/>
          <w:lang w:val="en-US" w:eastAsia="zh-CN"/>
        </w:rPr>
        <w:t>Moghadam M A ,Salhi A ,Yang X , et al.A multi-objective approach for the integrated planning of drone and robot assisted truck operations in last-mile delivery[J].Expert Systems With Applications,2025,269126434-126434.DOI:10.1016/J.ESWA.2025.126434.</w:t>
      </w:r>
      <w:bookmarkEnd w:id="7"/>
    </w:p>
    <w:p w14:paraId="22DDE953">
      <w:pPr>
        <w:pStyle w:val="2"/>
        <w:bidi w:val="0"/>
        <w:rPr>
          <w:rFonts w:hint="eastAsia" w:ascii="黑体" w:hAnsi="黑体" w:eastAsia="黑体" w:cs="黑体"/>
          <w:sz w:val="28"/>
          <w:szCs w:val="28"/>
        </w:rPr>
      </w:pPr>
      <w:r>
        <w:rPr>
          <w:rFonts w:hint="eastAsia" w:ascii="黑体" w:hAnsi="黑体" w:eastAsia="黑体" w:cs="黑体"/>
          <w:sz w:val="28"/>
          <w:szCs w:val="28"/>
        </w:rPr>
        <w:t>十、指导教师意见</w:t>
      </w:r>
    </w:p>
    <w:p w14:paraId="186FDBDA">
      <w:pPr>
        <w:widowControl/>
        <w:tabs>
          <w:tab w:val="left" w:pos="377"/>
        </w:tabs>
        <w:spacing w:line="360" w:lineRule="auto"/>
        <w:ind w:firstLine="420" w:firstLineChars="200"/>
        <w:rPr>
          <w:rFonts w:ascii="Times New Roman Regular" w:hAnsi="Times New Roman Regular"/>
          <w:kern w:val="0"/>
          <w:szCs w:val="21"/>
        </w:rPr>
      </w:pPr>
      <w:r>
        <w:rPr>
          <w:rFonts w:hint="eastAsia" w:ascii="Times New Roman Regular" w:hAnsi="Times New Roman Regular"/>
          <w:kern w:val="0"/>
          <w:szCs w:val="21"/>
        </w:rPr>
        <w:t xml:space="preserve">同意开题□   </w:t>
      </w:r>
      <w:r>
        <w:rPr>
          <w:rFonts w:ascii="Times New Roman Regular" w:hAnsi="Times New Roman Regular"/>
          <w:kern w:val="0"/>
          <w:szCs w:val="21"/>
        </w:rPr>
        <w:t xml:space="preserve"> </w:t>
      </w:r>
      <w:r>
        <w:rPr>
          <w:rFonts w:hint="eastAsia" w:ascii="Times New Roman Regular" w:hAnsi="Times New Roman Regular"/>
          <w:kern w:val="0"/>
          <w:szCs w:val="21"/>
        </w:rPr>
        <w:t xml:space="preserve">  继续</w:t>
      </w:r>
      <w:r>
        <w:rPr>
          <w:rFonts w:ascii="Times New Roman Regular" w:hAnsi="Times New Roman Regular"/>
          <w:kern w:val="0"/>
          <w:szCs w:val="21"/>
        </w:rPr>
        <w:t>修改</w:t>
      </w:r>
      <w:r>
        <w:rPr>
          <w:rFonts w:hint="eastAsia" w:ascii="Times New Roman Regular" w:hAnsi="Times New Roman Regular"/>
          <w:kern w:val="0"/>
          <w:szCs w:val="21"/>
        </w:rPr>
        <w:t>□</w:t>
      </w:r>
    </w:p>
    <w:p w14:paraId="41DB53D0">
      <w:pPr>
        <w:widowControl/>
        <w:tabs>
          <w:tab w:val="left" w:pos="377"/>
        </w:tabs>
        <w:spacing w:line="360" w:lineRule="auto"/>
        <w:ind w:firstLine="5160" w:firstLineChars="2150"/>
        <w:rPr>
          <w:rFonts w:ascii="Times New Roman Regular" w:hAnsi="Times New Roman Regular"/>
          <w:kern w:val="0"/>
          <w:sz w:val="24"/>
          <w:szCs w:val="24"/>
          <w:u w:val="single"/>
        </w:rPr>
      </w:pPr>
      <w:r>
        <w:rPr>
          <w:rFonts w:hint="eastAsia" w:ascii="Times New Roman Regular" w:hAnsi="Times New Roman Regular"/>
          <w:kern w:val="0"/>
          <w:sz w:val="24"/>
          <w:szCs w:val="24"/>
        </w:rPr>
        <w:t>指导教师签名：</w:t>
      </w:r>
      <w:r>
        <w:rPr>
          <w:rFonts w:hint="eastAsia" w:ascii="Times New Roman Regular" w:hAnsi="Times New Roman Regular"/>
          <w:kern w:val="0"/>
          <w:sz w:val="24"/>
          <w:szCs w:val="24"/>
          <w:u w:val="single"/>
        </w:rPr>
        <w:t xml:space="preserve"> </w:t>
      </w:r>
      <w:r>
        <w:rPr>
          <w:rFonts w:ascii="Times New Roman Regular" w:hAnsi="Times New Roman Regular"/>
          <w:kern w:val="0"/>
          <w:sz w:val="24"/>
          <w:szCs w:val="24"/>
          <w:u w:val="single"/>
        </w:rPr>
        <w:t xml:space="preserve"> </w:t>
      </w:r>
      <w:r>
        <w:rPr>
          <w:rFonts w:hint="eastAsia" w:ascii="Times New Roman Regular" w:hAnsi="Times New Roman Regular"/>
          <w:kern w:val="0"/>
          <w:sz w:val="24"/>
          <w:szCs w:val="24"/>
          <w:u w:val="single"/>
        </w:rPr>
        <w:t xml:space="preserve"> </w:t>
      </w:r>
      <w:r>
        <w:rPr>
          <w:rFonts w:hint="eastAsia" w:ascii="Times New Roman Regular" w:hAnsi="Times New Roman Regular"/>
          <w:kern w:val="0"/>
          <w:sz w:val="24"/>
          <w:szCs w:val="24"/>
          <w:u w:val="single"/>
          <w:lang w:val="en-US" w:eastAsia="zh-CN"/>
        </w:rPr>
        <w:t xml:space="preserve">    </w:t>
      </w:r>
      <w:r>
        <w:rPr>
          <w:rFonts w:ascii="Times New Roman Regular" w:hAnsi="Times New Roman Regular"/>
          <w:kern w:val="0"/>
          <w:sz w:val="24"/>
          <w:szCs w:val="24"/>
          <w:u w:val="single"/>
        </w:rPr>
        <w:t xml:space="preserve">    </w:t>
      </w:r>
    </w:p>
    <w:p w14:paraId="5C74B2B8">
      <w:pPr>
        <w:jc w:val="right"/>
        <w:rPr>
          <w:rFonts w:ascii="Times New Roman Regular" w:hAnsi="Times New Roman Regular"/>
        </w:rPr>
      </w:pPr>
      <w:r>
        <w:rPr>
          <w:rFonts w:hint="eastAsia" w:ascii="Times New Roman Regular" w:hAnsi="Times New Roman Regular"/>
          <w:kern w:val="0"/>
          <w:sz w:val="24"/>
          <w:szCs w:val="24"/>
        </w:rPr>
        <w:t xml:space="preserve">年 </w:t>
      </w:r>
      <w:r>
        <w:rPr>
          <w:rFonts w:ascii="Times New Roman Regular" w:hAnsi="Times New Roman Regular"/>
          <w:kern w:val="0"/>
          <w:sz w:val="24"/>
          <w:szCs w:val="24"/>
        </w:rPr>
        <w:t xml:space="preserve"> </w:t>
      </w:r>
      <w:r>
        <w:rPr>
          <w:rFonts w:hint="eastAsia" w:ascii="Times New Roman Regular" w:hAnsi="Times New Roman Regular"/>
          <w:kern w:val="0"/>
          <w:sz w:val="24"/>
          <w:szCs w:val="24"/>
        </w:rPr>
        <w:t xml:space="preserve"> 月  </w:t>
      </w:r>
      <w:r>
        <w:rPr>
          <w:rFonts w:ascii="Times New Roman Regular" w:hAnsi="Times New Roman Regular"/>
          <w:kern w:val="0"/>
          <w:sz w:val="24"/>
          <w:szCs w:val="24"/>
        </w:rPr>
        <w:t xml:space="preserve"> </w:t>
      </w:r>
      <w:r>
        <w:rPr>
          <w:rFonts w:hint="eastAsia" w:ascii="Times New Roman Regular" w:hAnsi="Times New Roman Regular"/>
          <w:kern w:val="0"/>
          <w:sz w:val="24"/>
          <w:szCs w:val="24"/>
        </w:rPr>
        <w:t>日</w:t>
      </w:r>
    </w:p>
    <w:p w14:paraId="7FC648D0">
      <w:pPr>
        <w:rPr>
          <w:rFonts w:ascii="Times New Roman Regular" w:hAnsi="Times New Roman Regular"/>
        </w:rPr>
      </w:pPr>
    </w:p>
    <w:sectPr>
      <w:pgSz w:w="11906" w:h="16838"/>
      <w:pgMar w:top="1440" w:right="1800" w:bottom="1440" w:left="1800" w:header="0" w:footer="113"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 w:name="仿宋">
    <w:panose1 w:val="02010609060101010101"/>
    <w:charset w:val="86"/>
    <w:family w:val="modern"/>
    <w:pitch w:val="default"/>
    <w:sig w:usb0="800002BF" w:usb1="38CF7CFA" w:usb2="00000016" w:usb3="00000000" w:csb0="00040001" w:csb1="00000000"/>
  </w:font>
  <w:font w:name="文鼎CS楷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文鼎CS楷体">
    <w:altName w:val="微软雅黑"/>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EDAC8"/>
    <w:multiLevelType w:val="singleLevel"/>
    <w:tmpl w:val="DFDEDAC8"/>
    <w:lvl w:ilvl="0" w:tentative="0">
      <w:start w:val="1"/>
      <w:numFmt w:val="decimal"/>
      <w:suff w:val="nothing"/>
      <w:lvlText w:val="[%1] "/>
      <w:lvlJc w:val="left"/>
      <w:pPr>
        <w:ind w:left="-403" w:firstLine="40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805DD"/>
    <w:rsid w:val="03276216"/>
    <w:rsid w:val="139072A6"/>
    <w:rsid w:val="1B673D8D"/>
    <w:rsid w:val="2F2D4673"/>
    <w:rsid w:val="2FBFA718"/>
    <w:rsid w:val="36207D7F"/>
    <w:rsid w:val="4CB805DD"/>
    <w:rsid w:val="514E0A28"/>
    <w:rsid w:val="662157CE"/>
    <w:rsid w:val="67BFF0A7"/>
    <w:rsid w:val="6B4F7673"/>
    <w:rsid w:val="6D7A4D2F"/>
    <w:rsid w:val="6FFF10B6"/>
    <w:rsid w:val="7A3663B1"/>
    <w:rsid w:val="7FF76403"/>
    <w:rsid w:val="7FFE7037"/>
    <w:rsid w:val="AD77EA55"/>
    <w:rsid w:val="BE7D921C"/>
    <w:rsid w:val="EFF7A366"/>
    <w:rsid w:val="F2DE8AFC"/>
    <w:rsid w:val="FB3BAAFD"/>
    <w:rsid w:val="FB7F5BFB"/>
    <w:rsid w:val="FEF3F062"/>
    <w:rsid w:val="FF7F4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5510</Words>
  <Characters>8223</Characters>
  <Lines>0</Lines>
  <Paragraphs>0</Paragraphs>
  <TotalTime>0</TotalTime>
  <ScaleCrop>false</ScaleCrop>
  <LinksUpToDate>false</LinksUpToDate>
  <CharactersWithSpaces>8890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2024-11-15T23:35:00Z</dcterms:created>
  <dc:creator>User</dc:creator>
  <cp:lastModifiedBy>hyl</cp:lastModifiedBy>
  <dcterms:modified xsi:type="dcterms:W3CDTF">2026-04-27T10:51:22Z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F8E34B42F41F4350908437F057FF4B09_11</vt:lpwstr>
  </property>
  <property fmtid="{D5CDD505-2E9C-101B-9397-08002B2CF9AE}" pid="4" name="KSOTemplateDocerSaveRecord">
    <vt:lpwstr>eyJoZGlkIjoiNGI3NzBlZjc2NmMzYTM5NDA1MWM1ZTdlYzA1YjQwNjAiLCJ1c2VySWQiOiI1NjUwMDQ4NzAifQ==</vt:lpwstr>
  </property>
</Properties>
</file>