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78"/>
          <w:sz w:val="24"/>
        </w:rPr>
        <w:t>NOVASPHERE</w:t>
      </w:r>
    </w:p>
    <w:p>
      <w:pPr>
        <w:pStyle w:val="Title"/>
        <w:jc w:val="center"/>
      </w:pPr>
      <w:r>
        <w:t>Promotion and Career Progression Policy</w:t>
      </w:r>
    </w:p>
    <w:p>
      <w:pPr>
        <w:jc w:val="center"/>
      </w:pPr>
      <w:r>
        <w:rPr>
          <w:i/>
          <w:color w:val="666666"/>
        </w:rPr>
        <w:t>Dummy enterprise knowledge-base document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100" w:type="dxa"/>
              <w:start w:w="120" w:type="dxa"/>
              <w:bottom w:w="100" w:type="dxa"/>
              <w:end w:w="120" w:type="dxa"/>
            </w:tcMar>
            <w:shd w:fill="DCE6F1"/>
          </w:tcPr>
          <w:p>
            <w:r>
              <w:rPr>
                <w:b/>
              </w:rPr>
              <w:t>Document ID</w:t>
            </w:r>
          </w:p>
        </w:tc>
        <w:tc>
          <w:tcPr>
            <w:tcW w:type="dxa" w:w="2498"/>
            <w:vAlign w:val="center"/>
            <w:tcMar>
              <w:top w:w="100" w:type="dxa"/>
              <w:start w:w="120" w:type="dxa"/>
              <w:bottom w:w="100" w:type="dxa"/>
              <w:end w:w="120" w:type="dxa"/>
            </w:tcMar>
          </w:tcPr>
          <w:p>
            <w:r>
              <w:t>NS-HR-002</w:t>
            </w:r>
          </w:p>
        </w:tc>
        <w:tc>
          <w:tcPr>
            <w:tcW w:type="dxa" w:w="2498"/>
            <w:vAlign w:val="center"/>
            <w:tcMar>
              <w:top w:w="100" w:type="dxa"/>
              <w:start w:w="120" w:type="dxa"/>
              <w:bottom w:w="100" w:type="dxa"/>
              <w:end w:w="120" w:type="dxa"/>
            </w:tcMar>
            <w:shd w:fill="DCE6F1"/>
          </w:tcPr>
          <w:p>
            <w:r>
              <w:rPr>
                <w:b/>
              </w:rPr>
              <w:t>Owner</w:t>
            </w:r>
          </w:p>
        </w:tc>
        <w:tc>
          <w:tcPr>
            <w:tcW w:type="dxa" w:w="2498"/>
            <w:vAlign w:val="center"/>
            <w:tcMar>
              <w:top w:w="100" w:type="dxa"/>
              <w:start w:w="120" w:type="dxa"/>
              <w:bottom w:w="100" w:type="dxa"/>
              <w:end w:w="120" w:type="dxa"/>
            </w:tcMar>
          </w:tcPr>
          <w:p>
            <w:r>
              <w:t>Talent Management</w:t>
            </w:r>
          </w:p>
        </w:tc>
      </w:tr>
      <w:tr>
        <w:tc>
          <w:tcPr>
            <w:tcW w:type="dxa" w:w="2498"/>
            <w:vAlign w:val="center"/>
            <w:tcMar>
              <w:top w:w="100" w:type="dxa"/>
              <w:start w:w="120" w:type="dxa"/>
              <w:bottom w:w="100" w:type="dxa"/>
              <w:end w:w="120" w:type="dxa"/>
            </w:tcMar>
            <w:shd w:fill="DCE6F1"/>
          </w:tcPr>
          <w:p>
            <w:r>
              <w:rPr>
                <w:b/>
              </w:rPr>
              <w:t>Effective date</w:t>
            </w:r>
          </w:p>
        </w:tc>
        <w:tc>
          <w:tcPr>
            <w:tcW w:type="dxa" w:w="2498"/>
            <w:vAlign w:val="center"/>
            <w:tcMar>
              <w:top w:w="100" w:type="dxa"/>
              <w:start w:w="120" w:type="dxa"/>
              <w:bottom w:w="100" w:type="dxa"/>
              <w:end w:w="120" w:type="dxa"/>
            </w:tcMar>
          </w:tcPr>
          <w:p>
            <w:r>
              <w:t>1 October 2026</w:t>
            </w:r>
          </w:p>
        </w:tc>
        <w:tc>
          <w:tcPr>
            <w:tcW w:type="dxa" w:w="2498"/>
            <w:vAlign w:val="center"/>
            <w:tcMar>
              <w:top w:w="100" w:type="dxa"/>
              <w:start w:w="120" w:type="dxa"/>
              <w:bottom w:w="100" w:type="dxa"/>
              <w:end w:w="120" w:type="dxa"/>
            </w:tcMar>
            <w:shd w:fill="DCE6F1"/>
          </w:tcPr>
          <w:p>
            <w:r>
              <w:rPr>
                <w:b/>
              </w:rPr>
              <w:t>Audience</w:t>
            </w:r>
          </w:p>
        </w:tc>
        <w:tc>
          <w:tcPr>
            <w:tcW w:type="dxa" w:w="2498"/>
            <w:vAlign w:val="center"/>
            <w:tcMar>
              <w:top w:w="100" w:type="dxa"/>
              <w:start w:w="120" w:type="dxa"/>
              <w:bottom w:w="100" w:type="dxa"/>
              <w:end w:w="120" w:type="dxa"/>
            </w:tcMar>
          </w:tcPr>
          <w:p>
            <w:r>
              <w:t>All employees and managers</w:t>
            </w:r>
          </w:p>
        </w:tc>
      </w:tr>
      <w:tr>
        <w:tc>
          <w:tcPr>
            <w:tcW w:type="dxa" w:w="2498"/>
            <w:vAlign w:val="center"/>
            <w:tcMar>
              <w:top w:w="100" w:type="dxa"/>
              <w:start w:w="120" w:type="dxa"/>
              <w:bottom w:w="100" w:type="dxa"/>
              <w:end w:w="120" w:type="dxa"/>
            </w:tcMar>
            <w:shd w:fill="DCE6F1"/>
          </w:tcPr>
          <w:p>
            <w:r>
              <w:rPr>
                <w:b/>
              </w:rPr>
              <w:t>Classification</w:t>
            </w:r>
          </w:p>
        </w:tc>
        <w:tc>
          <w:tcPr>
            <w:tcW w:type="dxa" w:w="2498"/>
            <w:vAlign w:val="center"/>
            <w:tcMar>
              <w:top w:w="100" w:type="dxa"/>
              <w:start w:w="120" w:type="dxa"/>
              <w:bottom w:w="100" w:type="dxa"/>
              <w:end w:w="120" w:type="dxa"/>
            </w:tcMar>
          </w:tcPr>
          <w:p>
            <w:r>
              <w:t>Internal</w:t>
            </w:r>
          </w:p>
        </w:tc>
        <w:tc>
          <w:tcPr>
            <w:tcW w:type="dxa" w:w="2498"/>
            <w:vAlign w:val="center"/>
            <w:tcMar>
              <w:top w:w="100" w:type="dxa"/>
              <w:start w:w="120" w:type="dxa"/>
              <w:bottom w:w="100" w:type="dxa"/>
              <w:end w:w="120" w:type="dxa"/>
            </w:tcMar>
            <w:shd w:fill="DCE6F1"/>
          </w:tcPr>
          <w:p>
            <w:r>
              <w:rPr>
                <w:b/>
              </w:rPr>
              <w:t>Version</w:t>
            </w:r>
          </w:p>
        </w:tc>
        <w:tc>
          <w:tcPr>
            <w:tcW w:type="dxa" w:w="2498"/>
            <w:vAlign w:val="center"/>
            <w:tcMar>
              <w:top w:w="100" w:type="dxa"/>
              <w:start w:w="120" w:type="dxa"/>
              <w:bottom w:w="100" w:type="dxa"/>
              <w:end w:w="120" w:type="dxa"/>
            </w:tcMar>
          </w:tcPr>
          <w:p>
            <w:r>
              <w:t>1.0</w:t>
            </w:r>
          </w:p>
        </w:tc>
      </w:tr>
    </w:tbl>
    <w:p/>
    <w:p>
      <w:pPr>
        <w:pStyle w:val="Heading1"/>
      </w:pPr>
      <w:r>
        <w:t>1. Promotion principles</w:t>
      </w:r>
    </w:p>
    <w:p>
      <w:pPr>
        <w:pStyle w:val="ListBullet"/>
      </w:pPr>
      <w:r>
        <w:t>Promotions recognize sustained performance at the next-level scope, not tenure alone.</w:t>
      </w:r>
    </w:p>
    <w:p>
      <w:pPr>
        <w:pStyle w:val="ListBullet"/>
      </w:pPr>
      <w:r>
        <w:t>Decisions must be evidence-based, equitable, budget-approved, and documented.</w:t>
      </w:r>
    </w:p>
    <w:p>
      <w:pPr>
        <w:pStyle w:val="ListBullet"/>
      </w:pPr>
      <w:r>
        <w:t>A promotion is not guaranteed by meeting a single metric.</w:t>
      </w:r>
    </w:p>
    <w:p>
      <w:pPr>
        <w:pStyle w:val="Heading1"/>
      </w:pPr>
      <w:r>
        <w:t>2. Standard eligibility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tcMar>
              <w:top w:w="100" w:type="dxa"/>
              <w:start w:w="120" w:type="dxa"/>
              <w:bottom w:w="100" w:type="dxa"/>
              <w:end w:w="120" w:type="dxa"/>
            </w:tcMar>
          </w:tcPr>
          <w:p>
            <w:pPr>
              <w:spacing w:after="40"/>
            </w:pPr>
            <w:r>
              <w:rPr>
                <w:b/>
                <w:color w:val="FFFFFF"/>
              </w:rPr>
              <w:t>Criterion</w:t>
            </w:r>
          </w:p>
        </w:tc>
        <w:tc>
          <w:tcPr>
            <w:tcW w:type="dxa" w:w="3331"/>
            <w:shd w:fill="1F4E78"/>
            <w:tcMar>
              <w:top w:w="100" w:type="dxa"/>
              <w:start w:w="120" w:type="dxa"/>
              <w:bottom w:w="100" w:type="dxa"/>
              <w:end w:w="120" w:type="dxa"/>
            </w:tcMar>
          </w:tcPr>
          <w:p>
            <w:pPr>
              <w:spacing w:after="40"/>
            </w:pPr>
            <w:r>
              <w:rPr>
                <w:b/>
                <w:color w:val="FFFFFF"/>
              </w:rPr>
              <w:t>Minimum expectation</w:t>
            </w:r>
          </w:p>
        </w:tc>
        <w:tc>
          <w:tcPr>
            <w:tcW w:type="dxa" w:w="3331"/>
            <w:shd w:fill="1F4E78"/>
            <w:tcMar>
              <w:top w:w="100" w:type="dxa"/>
              <w:start w:w="120" w:type="dxa"/>
              <w:bottom w:w="100" w:type="dxa"/>
              <w:end w:w="120" w:type="dxa"/>
            </w:tcMar>
          </w:tcPr>
          <w:p>
            <w:pPr>
              <w:spacing w:after="40"/>
            </w:pPr>
            <w:r>
              <w:rPr>
                <w:b/>
                <w:color w:val="FFFFFF"/>
              </w:rPr>
              <w:t>Evidence</w:t>
            </w:r>
          </w:p>
        </w:tc>
      </w:tr>
      <w:tr>
        <w:tc>
          <w:tcPr>
            <w:tcW w:type="dxa" w:w="3331"/>
            <w:vAlign w:val="center"/>
            <w:tcMar>
              <w:top w:w="100" w:type="dxa"/>
              <w:start w:w="120" w:type="dxa"/>
              <w:bottom w:w="100" w:type="dxa"/>
              <w:end w:w="120" w:type="dxa"/>
            </w:tcMar>
          </w:tcPr>
          <w:p>
            <w:pPr>
              <w:spacing w:after="40"/>
            </w:pPr>
            <w:r>
              <w:t>Time in current level</w:t>
            </w:r>
          </w:p>
        </w:tc>
        <w:tc>
          <w:tcPr>
            <w:tcW w:type="dxa" w:w="3331"/>
            <w:vAlign w:val="center"/>
            <w:tcMar>
              <w:top w:w="100" w:type="dxa"/>
              <w:start w:w="120" w:type="dxa"/>
              <w:bottom w:w="100" w:type="dxa"/>
              <w:end w:w="120" w:type="dxa"/>
            </w:tcMar>
          </w:tcPr>
          <w:p>
            <w:pPr>
              <w:spacing w:after="40"/>
            </w:pPr>
            <w:r>
              <w:t>Normally 12 months</w:t>
            </w:r>
          </w:p>
        </w:tc>
        <w:tc>
          <w:tcPr>
            <w:tcW w:type="dxa" w:w="3331"/>
            <w:vAlign w:val="center"/>
            <w:tcMar>
              <w:top w:w="100" w:type="dxa"/>
              <w:start w:w="120" w:type="dxa"/>
              <w:bottom w:w="100" w:type="dxa"/>
              <w:end w:w="120" w:type="dxa"/>
            </w:tcMar>
          </w:tcPr>
          <w:p>
            <w:pPr>
              <w:spacing w:after="40"/>
            </w:pPr>
            <w:r>
              <w:t>HRIS record</w:t>
            </w:r>
          </w:p>
        </w:tc>
      </w:tr>
      <w:tr>
        <w:tc>
          <w:tcPr>
            <w:tcW w:type="dxa" w:w="3331"/>
            <w:vAlign w:val="center"/>
            <w:tcMar>
              <w:top w:w="100" w:type="dxa"/>
              <w:start w:w="120" w:type="dxa"/>
              <w:bottom w:w="100" w:type="dxa"/>
              <w:end w:w="120" w:type="dxa"/>
            </w:tcMar>
          </w:tcPr>
          <w:p>
            <w:pPr>
              <w:spacing w:after="40"/>
            </w:pPr>
            <w:r>
              <w:t>Performance</w:t>
            </w:r>
          </w:p>
        </w:tc>
        <w:tc>
          <w:tcPr>
            <w:tcW w:type="dxa" w:w="3331"/>
            <w:vAlign w:val="center"/>
            <w:tcMar>
              <w:top w:w="100" w:type="dxa"/>
              <w:start w:w="120" w:type="dxa"/>
              <w:bottom w:w="100" w:type="dxa"/>
              <w:end w:w="120" w:type="dxa"/>
            </w:tcMar>
          </w:tcPr>
          <w:p>
            <w:pPr>
              <w:spacing w:after="40"/>
            </w:pPr>
            <w:r>
              <w:t>Rating of Meets Expectations or above in the latest cycle</w:t>
            </w:r>
          </w:p>
        </w:tc>
        <w:tc>
          <w:tcPr>
            <w:tcW w:type="dxa" w:w="3331"/>
            <w:vAlign w:val="center"/>
            <w:tcMar>
              <w:top w:w="100" w:type="dxa"/>
              <w:start w:w="120" w:type="dxa"/>
              <w:bottom w:w="100" w:type="dxa"/>
              <w:end w:w="120" w:type="dxa"/>
            </w:tcMar>
          </w:tcPr>
          <w:p>
            <w:pPr>
              <w:spacing w:after="40"/>
            </w:pPr>
            <w:r>
              <w:t>Performance review</w:t>
            </w:r>
          </w:p>
        </w:tc>
      </w:tr>
      <w:tr>
        <w:tc>
          <w:tcPr>
            <w:tcW w:type="dxa" w:w="3331"/>
            <w:vAlign w:val="center"/>
            <w:tcMar>
              <w:top w:w="100" w:type="dxa"/>
              <w:start w:w="120" w:type="dxa"/>
              <w:bottom w:w="100" w:type="dxa"/>
              <w:end w:w="120" w:type="dxa"/>
            </w:tcMar>
          </w:tcPr>
          <w:p>
            <w:pPr>
              <w:spacing w:after="40"/>
            </w:pPr>
            <w:r>
              <w:t>Capability</w:t>
            </w:r>
          </w:p>
        </w:tc>
        <w:tc>
          <w:tcPr>
            <w:tcW w:type="dxa" w:w="3331"/>
            <w:vAlign w:val="center"/>
            <w:tcMar>
              <w:top w:w="100" w:type="dxa"/>
              <w:start w:w="120" w:type="dxa"/>
              <w:bottom w:w="100" w:type="dxa"/>
              <w:end w:w="120" w:type="dxa"/>
            </w:tcMar>
          </w:tcPr>
          <w:p>
            <w:pPr>
              <w:spacing w:after="40"/>
            </w:pPr>
            <w:r>
              <w:t>Demonstrates at least 70% of next-level competencies</w:t>
            </w:r>
          </w:p>
        </w:tc>
        <w:tc>
          <w:tcPr>
            <w:tcW w:type="dxa" w:w="3331"/>
            <w:vAlign w:val="center"/>
            <w:tcMar>
              <w:top w:w="100" w:type="dxa"/>
              <w:start w:w="120" w:type="dxa"/>
              <w:bottom w:w="100" w:type="dxa"/>
              <w:end w:w="120" w:type="dxa"/>
            </w:tcMar>
          </w:tcPr>
          <w:p>
            <w:pPr>
              <w:spacing w:after="40"/>
            </w:pPr>
            <w:r>
              <w:t>Manager assessment and work examples</w:t>
            </w:r>
          </w:p>
        </w:tc>
      </w:tr>
      <w:tr>
        <w:tc>
          <w:tcPr>
            <w:tcW w:type="dxa" w:w="3331"/>
            <w:vAlign w:val="center"/>
            <w:tcMar>
              <w:top w:w="100" w:type="dxa"/>
              <w:start w:w="120" w:type="dxa"/>
              <w:bottom w:w="100" w:type="dxa"/>
              <w:end w:w="120" w:type="dxa"/>
            </w:tcMar>
          </w:tcPr>
          <w:p>
            <w:pPr>
              <w:spacing w:after="40"/>
            </w:pPr>
            <w:r>
              <w:t>Conduct</w:t>
            </w:r>
          </w:p>
        </w:tc>
        <w:tc>
          <w:tcPr>
            <w:tcW w:type="dxa" w:w="3331"/>
            <w:vAlign w:val="center"/>
            <w:tcMar>
              <w:top w:w="100" w:type="dxa"/>
              <w:start w:w="120" w:type="dxa"/>
              <w:bottom w:w="100" w:type="dxa"/>
              <w:end w:w="120" w:type="dxa"/>
            </w:tcMar>
          </w:tcPr>
          <w:p>
            <w:pPr>
              <w:spacing w:after="40"/>
            </w:pPr>
            <w:r>
              <w:t>No active disciplinary action</w:t>
            </w:r>
          </w:p>
        </w:tc>
        <w:tc>
          <w:tcPr>
            <w:tcW w:type="dxa" w:w="3331"/>
            <w:vAlign w:val="center"/>
            <w:tcMar>
              <w:top w:w="100" w:type="dxa"/>
              <w:start w:w="120" w:type="dxa"/>
              <w:bottom w:w="100" w:type="dxa"/>
              <w:end w:w="120" w:type="dxa"/>
            </w:tcMar>
          </w:tcPr>
          <w:p>
            <w:pPr>
              <w:spacing w:after="40"/>
            </w:pPr>
            <w:r>
              <w:t>People Operations check</w:t>
            </w:r>
          </w:p>
        </w:tc>
      </w:tr>
      <w:tr>
        <w:tc>
          <w:tcPr>
            <w:tcW w:type="dxa" w:w="3331"/>
            <w:vAlign w:val="center"/>
            <w:tcMar>
              <w:top w:w="100" w:type="dxa"/>
              <w:start w:w="120" w:type="dxa"/>
              <w:bottom w:w="100" w:type="dxa"/>
              <w:end w:w="120" w:type="dxa"/>
            </w:tcMar>
          </w:tcPr>
          <w:p>
            <w:pPr>
              <w:spacing w:after="40"/>
            </w:pPr>
            <w:r>
              <w:t>Business need</w:t>
            </w:r>
          </w:p>
        </w:tc>
        <w:tc>
          <w:tcPr>
            <w:tcW w:type="dxa" w:w="3331"/>
            <w:vAlign w:val="center"/>
            <w:tcMar>
              <w:top w:w="100" w:type="dxa"/>
              <w:start w:w="120" w:type="dxa"/>
              <w:bottom w:w="100" w:type="dxa"/>
              <w:end w:w="120" w:type="dxa"/>
            </w:tcMar>
          </w:tcPr>
          <w:p>
            <w:pPr>
              <w:spacing w:after="40"/>
            </w:pPr>
            <w:r>
              <w:t>Approved role scope and budget</w:t>
            </w:r>
          </w:p>
        </w:tc>
        <w:tc>
          <w:tcPr>
            <w:tcW w:type="dxa" w:w="3331"/>
            <w:vAlign w:val="center"/>
            <w:tcMar>
              <w:top w:w="100" w:type="dxa"/>
              <w:start w:w="120" w:type="dxa"/>
              <w:bottom w:w="100" w:type="dxa"/>
              <w:end w:w="120" w:type="dxa"/>
            </w:tcMar>
          </w:tcPr>
          <w:p>
            <w:pPr>
              <w:spacing w:after="40"/>
            </w:pPr>
            <w:r>
              <w:t>Department head approval</w:t>
            </w:r>
          </w:p>
        </w:tc>
      </w:tr>
    </w:tbl>
    <w:p>
      <w:pPr>
        <w:pStyle w:val="Heading1"/>
      </w:pPr>
      <w:r>
        <w:t>3. Review workflow</w:t>
      </w:r>
    </w:p>
    <w:p>
      <w:pPr>
        <w:pStyle w:val="ListNumber"/>
      </w:pPr>
      <w:r>
        <w:t>Manager prepares a promotion case with measurable outcomes.</w:t>
      </w:r>
    </w:p>
    <w:p>
      <w:pPr>
        <w:pStyle w:val="ListNumber"/>
      </w:pPr>
      <w:r>
        <w:t>Department head reviews scope, consistency, and budget.</w:t>
      </w:r>
    </w:p>
    <w:p>
      <w:pPr>
        <w:pStyle w:val="ListNumber"/>
      </w:pPr>
      <w:r>
        <w:t>People Operations performs calibration and policy checks.</w:t>
      </w:r>
    </w:p>
    <w:p>
      <w:pPr>
        <w:pStyle w:val="ListNumber"/>
      </w:pPr>
      <w:r>
        <w:t>Promotion committee approves, rejects, or requests more evidence.</w:t>
      </w:r>
    </w:p>
    <w:p>
      <w:pPr>
        <w:pStyle w:val="ListNumber"/>
      </w:pPr>
      <w:r>
        <w:t>People Operations issues the formal letter after final approval.</w:t>
      </w:r>
    </w:p>
    <w:p>
      <w:pPr>
        <w:pStyle w:val="Heading1"/>
      </w:pPr>
      <w:r>
        <w:t>4. Human-in-the-loop requirement</w:t>
      </w:r>
    </w:p>
    <w:p>
      <w:r>
        <w:t>The knowledge assistant may explain criteria and retrieve permitted evidence, but it must never approve, reject, promise, or automatically execute a promotion. All promotion decisions require authorized human review.</w:t>
      </w:r>
    </w:p>
    <w:p>
      <w:pPr>
        <w:pStyle w:val="Heading1"/>
      </w:pPr>
      <w:r>
        <w:t>5. Confidentiality</w:t>
      </w:r>
    </w:p>
    <w:p>
      <w:r>
        <w:t>Employees may access their own promotion status. Managers may access cases for their hierarchy. HR and Admin may access records according to assigned responsibilities. Calibration notes are restricted to HR and the promotion committee.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 NS-HR-002 | NovaSphere Technologies Pvt.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NovaSphere Technologies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