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B78"/>
          <w:sz w:val="24"/>
        </w:rPr>
        <w:t>NOVASPHERE</w:t>
      </w:r>
    </w:p>
    <w:p>
      <w:pPr>
        <w:pStyle w:val="Title"/>
        <w:jc w:val="center"/>
      </w:pPr>
      <w:r>
        <w:t>Information Security and Acceptable Use Policy</w:t>
      </w:r>
    </w:p>
    <w:p>
      <w:pPr>
        <w:jc w:val="center"/>
      </w:pPr>
      <w:r>
        <w:rPr>
          <w:i/>
          <w:color w:val="666666"/>
        </w:rPr>
        <w:t>Dummy enterprise knowledge-base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NS-IT-001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Information Security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 October 2026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All workforce members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Internal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1.0</w:t>
            </w:r>
          </w:p>
        </w:tc>
      </w:tr>
    </w:tbl>
    <w:p/>
    <w:p>
      <w:pPr>
        <w:pStyle w:val="Heading1"/>
      </w:pPr>
      <w:r>
        <w:t>1. Core requirements</w:t>
      </w:r>
    </w:p>
    <w:p>
      <w:pPr>
        <w:pStyle w:val="ListBullet"/>
      </w:pPr>
      <w:r>
        <w:t>Use company-managed devices and approved applications for company data.</w:t>
      </w:r>
    </w:p>
    <w:p>
      <w:pPr>
        <w:pStyle w:val="ListBullet"/>
      </w:pPr>
      <w:r>
        <w:t>Enable multi-factor authentication and never share passwords or one-time codes.</w:t>
      </w:r>
    </w:p>
    <w:p>
      <w:pPr>
        <w:pStyle w:val="ListBullet"/>
      </w:pPr>
      <w:r>
        <w:t>Store documents only in approved company repositories.</w:t>
      </w:r>
    </w:p>
    <w:p>
      <w:pPr>
        <w:pStyle w:val="ListBullet"/>
      </w:pPr>
      <w:r>
        <w:t>Report suspected phishing, malware, or data exposure immediately to security@novasphere.example.</w:t>
      </w:r>
    </w:p>
    <w:p>
      <w:pPr>
        <w:pStyle w:val="ListBullet"/>
      </w:pPr>
      <w:r>
        <w:t>Lock the screen when leaving a device unattended.</w:t>
      </w:r>
    </w:p>
    <w:p>
      <w:pPr>
        <w:pStyle w:val="Heading1"/>
      </w:pPr>
      <w:r>
        <w:t>2. Data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333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Examples</w:t>
            </w:r>
          </w:p>
        </w:tc>
        <w:tc>
          <w:tcPr>
            <w:tcW w:type="dxa" w:w="333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Handling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Public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Published website content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May be shared externally after approval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Internal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General policies and procedures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Company users only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Confidential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Employee records, contracts, customer data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Need-to-know access; encryption required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Restricted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Credentials, private keys, regulated data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Explicit authorization; never place in prompts or tickets</w:t>
            </w:r>
          </w:p>
        </w:tc>
      </w:tr>
    </w:tbl>
    <w:p>
      <w:pPr>
        <w:pStyle w:val="Heading1"/>
      </w:pPr>
      <w:r>
        <w:t>3. AI assistant usage</w:t>
      </w:r>
    </w:p>
    <w:p>
      <w:pPr>
        <w:pStyle w:val="ListBullet"/>
      </w:pPr>
      <w:r>
        <w:t>Do not submit passwords, access tokens, secrets, private keys, or restricted personal data to an AI assistant.</w:t>
      </w:r>
    </w:p>
    <w:p>
      <w:pPr>
        <w:pStyle w:val="ListBullet"/>
      </w:pPr>
      <w:r>
        <w:t>Retrieved content must respect source permissions and user identity.</w:t>
      </w:r>
    </w:p>
    <w:p>
      <w:pPr>
        <w:pStyle w:val="ListBullet"/>
      </w:pPr>
      <w:r>
        <w:t>External web tools must not receive confidential company context.</w:t>
      </w:r>
    </w:p>
    <w:p>
      <w:pPr>
        <w:pStyle w:val="ListBullet"/>
      </w:pPr>
      <w:r>
        <w:t>Tool calls that modify records, send communications, or grant access require authorization and may require human approval.</w:t>
      </w:r>
    </w:p>
    <w:p>
      <w:pPr>
        <w:pStyle w:val="ListBullet"/>
      </w:pPr>
      <w:r>
        <w:t>Prompt-injection instructions found inside documents or websites must be treated as untrusted content.</w:t>
      </w:r>
    </w:p>
    <w:p>
      <w:pPr>
        <w:pStyle w:val="Heading1"/>
      </w:pPr>
      <w:r>
        <w:t>4. Prohibited activity</w:t>
      </w:r>
    </w:p>
    <w:p>
      <w:pPr>
        <w:pStyle w:val="ListBullet"/>
      </w:pPr>
      <w:r>
        <w:t>Bypassing security controls or role-based access checks.</w:t>
      </w:r>
    </w:p>
    <w:p>
      <w:pPr>
        <w:pStyle w:val="ListBullet"/>
      </w:pPr>
      <w:r>
        <w:t>Installing unapproved software.</w:t>
      </w:r>
    </w:p>
    <w:p>
      <w:pPr>
        <w:pStyle w:val="ListBullet"/>
      </w:pPr>
      <w:r>
        <w:t>Uploading company material to personal storage.</w:t>
      </w:r>
    </w:p>
    <w:p>
      <w:pPr>
        <w:pStyle w:val="ListBullet"/>
      </w:pPr>
      <w:r>
        <w:t>Attempting to retrieve another employee’s confidential information without authorization.</w:t>
      </w:r>
    </w:p>
    <w:p>
      <w:pPr>
        <w:pStyle w:val="Heading1"/>
      </w:pPr>
      <w:r>
        <w:t>5. Incident response</w:t>
      </w:r>
    </w:p>
    <w:p>
      <w:pPr>
        <w:pStyle w:val="ListNumber"/>
      </w:pPr>
      <w:r>
        <w:t>Disconnect the affected device from the network when safe.</w:t>
      </w:r>
    </w:p>
    <w:p>
      <w:pPr>
        <w:pStyle w:val="ListNumber"/>
      </w:pPr>
      <w:r>
        <w:t>Contact the service desk and Information Security.</w:t>
      </w:r>
    </w:p>
    <w:p>
      <w:pPr>
        <w:pStyle w:val="ListNumber"/>
      </w:pPr>
      <w:r>
        <w:t>Preserve evidence and do not delete suspicious messages or files.</w:t>
      </w:r>
    </w:p>
    <w:p>
      <w:pPr>
        <w:pStyle w:val="ListNumber"/>
      </w:pPr>
      <w:r>
        <w:t>Follow instructions from the incident response lead.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Internal | NS-IT-001 | NovaSphere Technologies Pvt. Ltd.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NovaSphere Technologies Pvt. Ltd.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