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4"/>
        </w:rPr>
        <w:t>NOVASPHERE</w:t>
      </w:r>
    </w:p>
    <w:p>
      <w:pPr>
        <w:pStyle w:val="Title"/>
        <w:jc w:val="center"/>
      </w:pPr>
      <w:r>
        <w:t>Business Travel and Expense Reimbursement Policy</w:t>
      </w:r>
    </w:p>
    <w:p>
      <w:pPr>
        <w:jc w:val="center"/>
      </w:pPr>
      <w:r>
        <w:rPr>
          <w:i/>
          <w:color w:val="666666"/>
        </w:rPr>
        <w:t>Dummy enterprise knowledge-base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NS-FIN-001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 Operations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 October 2026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All employees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Internal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</w:tbl>
    <w:p/>
    <w:p>
      <w:pPr>
        <w:pStyle w:val="Heading1"/>
      </w:pPr>
      <w:r>
        <w:t>1. Scope</w:t>
      </w:r>
    </w:p>
    <w:p>
      <w:r>
        <w:t>This policy applies to approved business travel and reimbursable expenses incurred for company work.</w:t>
      </w:r>
    </w:p>
    <w:p>
      <w:pPr>
        <w:pStyle w:val="Heading1"/>
      </w:pPr>
      <w:r>
        <w:t>2. Limits in India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Expense</w:t>
            </w:r>
          </w:p>
        </w:tc>
        <w:tc>
          <w:tcPr>
            <w:tcW w:type="dxa" w:w="249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Employee limit</w:t>
            </w:r>
          </w:p>
        </w:tc>
        <w:tc>
          <w:tcPr>
            <w:tcW w:type="dxa" w:w="249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Manager limit</w:t>
            </w:r>
          </w:p>
        </w:tc>
        <w:tc>
          <w:tcPr>
            <w:tcW w:type="dxa" w:w="249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Required proof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Hotel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INR 5,000 per night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INR 7,500 per night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Tax invoice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Meals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INR 1,200 per day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INR 1,800 per day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Itemized receipt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Local transport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Actual reasonable cost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Actual reasonable cost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Receipt where available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Air travel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Economy class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Economy class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Ticket and boarding pass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Rail travel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AC class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AC class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t>Ticket</w:t>
            </w:r>
          </w:p>
        </w:tc>
      </w:tr>
    </w:tbl>
    <w:p>
      <w:pPr>
        <w:pStyle w:val="Heading1"/>
      </w:pPr>
      <w:r>
        <w:t>3. Approval rules</w:t>
      </w:r>
    </w:p>
    <w:p>
      <w:pPr>
        <w:pStyle w:val="ListBullet"/>
      </w:pPr>
      <w:r>
        <w:t>Manager approval is required before booking travel.</w:t>
      </w:r>
    </w:p>
    <w:p>
      <w:pPr>
        <w:pStyle w:val="ListBullet"/>
      </w:pPr>
      <w:r>
        <w:t>International travel requires department-head and Finance approval.</w:t>
      </w:r>
    </w:p>
    <w:p>
      <w:pPr>
        <w:pStyle w:val="ListBullet"/>
      </w:pPr>
      <w:r>
        <w:t>Any expense above a stated limit requires written exception approval.</w:t>
      </w:r>
    </w:p>
    <w:p>
      <w:pPr>
        <w:pStyle w:val="ListBullet"/>
      </w:pPr>
      <w:r>
        <w:t>Claims must be submitted within 15 calendar days after travel.</w:t>
      </w:r>
    </w:p>
    <w:p>
      <w:pPr>
        <w:pStyle w:val="Heading1"/>
      </w:pPr>
      <w:r>
        <w:t>4. Non-reimbursable items</w:t>
      </w:r>
    </w:p>
    <w:p>
      <w:pPr>
        <w:pStyle w:val="ListBullet"/>
      </w:pPr>
      <w:r>
        <w:t>Personal entertainment, minibar, fines, traffic penalties, and companion travel.</w:t>
      </w:r>
    </w:p>
    <w:p>
      <w:pPr>
        <w:pStyle w:val="ListBullet"/>
      </w:pPr>
      <w:r>
        <w:t>Upgrades without approved business justification.</w:t>
      </w:r>
    </w:p>
    <w:p>
      <w:pPr>
        <w:pStyle w:val="ListBullet"/>
      </w:pPr>
      <w:r>
        <w:t>Expenses without adequate proof unless Finance grants an exception.</w:t>
      </w:r>
    </w:p>
    <w:p>
      <w:pPr>
        <w:pStyle w:val="Heading1"/>
      </w:pPr>
      <w:r>
        <w:t>5. Assistant behavior</w:t>
      </w:r>
    </w:p>
    <w:p>
      <w:r>
        <w:t>The assistant may explain limits and claim steps. It must not approve an expense, alter a claim, or expose another employee’s receipts. Transactional actions require Finance authorization and human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Internal | NS-FIN-001 | NovaSphere Technologies Pvt. Ltd.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NovaSphere Technologies Pvt. Ltd.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