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4"/>
        </w:rPr>
        <w:t>NOVASPHERE</w:t>
      </w:r>
    </w:p>
    <w:p>
      <w:pPr>
        <w:pStyle w:val="Title"/>
        <w:jc w:val="center"/>
      </w:pPr>
      <w:r>
        <w:t>Employee Handbook</w:t>
      </w:r>
    </w:p>
    <w:p>
      <w:pPr>
        <w:jc w:val="center"/>
      </w:pPr>
      <w:r>
        <w:rPr>
          <w:i/>
          <w:color w:val="666666"/>
        </w:rPr>
        <w:t>Dummy enterprise knowledge-base document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100" w:type="dxa"/>
              <w:start w:w="120" w:type="dxa"/>
              <w:bottom w:w="100" w:type="dxa"/>
              <w:end w:w="120" w:type="dxa"/>
            </w:tcMar>
            <w:shd w:fill="DCE6F1"/>
          </w:tcPr>
          <w:p>
            <w:r>
              <w:rPr>
                <w:b/>
              </w:rPr>
              <w:t>Document ID</w:t>
            </w:r>
          </w:p>
        </w:tc>
        <w:tc>
          <w:tcPr>
            <w:tcW w:type="dxa" w:w="2498"/>
            <w:vAlign w:val="center"/>
            <w:tcMar>
              <w:top w:w="100" w:type="dxa"/>
              <w:start w:w="120" w:type="dxa"/>
              <w:bottom w:w="100" w:type="dxa"/>
              <w:end w:w="120" w:type="dxa"/>
            </w:tcMar>
          </w:tcPr>
          <w:p>
            <w:r>
              <w:t>NS-HR-000</w:t>
            </w:r>
          </w:p>
        </w:tc>
        <w:tc>
          <w:tcPr>
            <w:tcW w:type="dxa" w:w="2498"/>
            <w:vAlign w:val="center"/>
            <w:tcMar>
              <w:top w:w="100" w:type="dxa"/>
              <w:start w:w="120" w:type="dxa"/>
              <w:bottom w:w="100" w:type="dxa"/>
              <w:end w:w="120" w:type="dxa"/>
            </w:tcMar>
            <w:shd w:fill="DCE6F1"/>
          </w:tcPr>
          <w:p>
            <w:r>
              <w:rPr>
                <w:b/>
              </w:rPr>
              <w:t>Owner</w:t>
            </w:r>
          </w:p>
        </w:tc>
        <w:tc>
          <w:tcPr>
            <w:tcW w:type="dxa" w:w="2498"/>
            <w:vAlign w:val="center"/>
            <w:tcMar>
              <w:top w:w="100" w:type="dxa"/>
              <w:start w:w="120" w:type="dxa"/>
              <w:bottom w:w="100" w:type="dxa"/>
              <w:end w:w="120" w:type="dxa"/>
            </w:tcMar>
          </w:tcPr>
          <w:p>
            <w:r>
              <w:t>People Operations</w:t>
            </w:r>
          </w:p>
        </w:tc>
      </w:tr>
      <w:tr>
        <w:tc>
          <w:tcPr>
            <w:tcW w:type="dxa" w:w="2498"/>
            <w:vAlign w:val="center"/>
            <w:tcMar>
              <w:top w:w="100" w:type="dxa"/>
              <w:start w:w="120" w:type="dxa"/>
              <w:bottom w:w="100" w:type="dxa"/>
              <w:end w:w="120" w:type="dxa"/>
            </w:tcMar>
            <w:shd w:fill="DCE6F1"/>
          </w:tcPr>
          <w:p>
            <w:r>
              <w:rPr>
                <w:b/>
              </w:rPr>
              <w:t>Effective date</w:t>
            </w:r>
          </w:p>
        </w:tc>
        <w:tc>
          <w:tcPr>
            <w:tcW w:type="dxa" w:w="2498"/>
            <w:vAlign w:val="center"/>
            <w:tcMar>
              <w:top w:w="100" w:type="dxa"/>
              <w:start w:w="120" w:type="dxa"/>
              <w:bottom w:w="100" w:type="dxa"/>
              <w:end w:w="120" w:type="dxa"/>
            </w:tcMar>
          </w:tcPr>
          <w:p>
            <w:r>
              <w:t>1 October 2026</w:t>
            </w:r>
          </w:p>
        </w:tc>
        <w:tc>
          <w:tcPr>
            <w:tcW w:type="dxa" w:w="2498"/>
            <w:vAlign w:val="center"/>
            <w:tcMar>
              <w:top w:w="100" w:type="dxa"/>
              <w:start w:w="120" w:type="dxa"/>
              <w:bottom w:w="100" w:type="dxa"/>
              <w:end w:w="120" w:type="dxa"/>
            </w:tcMar>
            <w:shd w:fill="DCE6F1"/>
          </w:tcPr>
          <w:p>
            <w:r>
              <w:rPr>
                <w:b/>
              </w:rPr>
              <w:t>Audience</w:t>
            </w:r>
          </w:p>
        </w:tc>
        <w:tc>
          <w:tcPr>
            <w:tcW w:type="dxa" w:w="2498"/>
            <w:vAlign w:val="center"/>
            <w:tcMar>
              <w:top w:w="100" w:type="dxa"/>
              <w:start w:w="120" w:type="dxa"/>
              <w:bottom w:w="100" w:type="dxa"/>
              <w:end w:w="120" w:type="dxa"/>
            </w:tcMar>
          </w:tcPr>
          <w:p>
            <w:r>
              <w:t>All employees</w:t>
            </w:r>
          </w:p>
        </w:tc>
      </w:tr>
      <w:tr>
        <w:tc>
          <w:tcPr>
            <w:tcW w:type="dxa" w:w="2498"/>
            <w:vAlign w:val="center"/>
            <w:tcMar>
              <w:top w:w="100" w:type="dxa"/>
              <w:start w:w="120" w:type="dxa"/>
              <w:bottom w:w="100" w:type="dxa"/>
              <w:end w:w="120" w:type="dxa"/>
            </w:tcMar>
            <w:shd w:fill="DCE6F1"/>
          </w:tcPr>
          <w:p>
            <w:r>
              <w:rPr>
                <w:b/>
              </w:rPr>
              <w:t>Classification</w:t>
            </w:r>
          </w:p>
        </w:tc>
        <w:tc>
          <w:tcPr>
            <w:tcW w:type="dxa" w:w="2498"/>
            <w:vAlign w:val="center"/>
            <w:tcMar>
              <w:top w:w="100" w:type="dxa"/>
              <w:start w:w="120" w:type="dxa"/>
              <w:bottom w:w="100" w:type="dxa"/>
              <w:end w:w="120" w:type="dxa"/>
            </w:tcMar>
          </w:tcPr>
          <w:p>
            <w:r>
              <w:t>Internal</w:t>
            </w:r>
          </w:p>
        </w:tc>
        <w:tc>
          <w:tcPr>
            <w:tcW w:type="dxa" w:w="2498"/>
            <w:vAlign w:val="center"/>
            <w:tcMar>
              <w:top w:w="100" w:type="dxa"/>
              <w:start w:w="120" w:type="dxa"/>
              <w:bottom w:w="100" w:type="dxa"/>
              <w:end w:w="120" w:type="dxa"/>
            </w:tcMar>
            <w:shd w:fill="DCE6F1"/>
          </w:tcPr>
          <w:p>
            <w:r>
              <w:rPr>
                <w:b/>
              </w:rPr>
              <w:t>Version</w:t>
            </w:r>
          </w:p>
        </w:tc>
        <w:tc>
          <w:tcPr>
            <w:tcW w:type="dxa" w:w="2498"/>
            <w:vAlign w:val="center"/>
            <w:tcMar>
              <w:top w:w="100" w:type="dxa"/>
              <w:start w:w="120" w:type="dxa"/>
              <w:bottom w:w="100" w:type="dxa"/>
              <w:end w:w="120" w:type="dxa"/>
            </w:tcMar>
          </w:tcPr>
          <w:p>
            <w:r>
              <w:t>1.0</w:t>
            </w:r>
          </w:p>
        </w:tc>
      </w:tr>
    </w:tbl>
    <w:p/>
    <w:p>
      <w:pPr>
        <w:pStyle w:val="Heading1"/>
      </w:pPr>
      <w:r>
        <w:t>1. About the company</w:t>
      </w:r>
    </w:p>
    <w:p>
      <w:r>
        <w:t>NovaSphere Technologies Pvt. Ltd. is a fictional technology services company used for demonstration and testing. It delivers cloud, data, software engineering, and AI solutions from offices in Mumbai, Pune, Bengaluru, Hyderabad, and Indore.</w:t>
      </w:r>
    </w:p>
    <w:p>
      <w:pPr>
        <w:pStyle w:val="Heading1"/>
      </w:pPr>
      <w:r>
        <w:t>2. Working arrangements</w:t>
      </w:r>
    </w:p>
    <w:p>
      <w:pPr>
        <w:pStyle w:val="ListBullet"/>
      </w:pPr>
      <w:r>
        <w:t>Standard working hours are 9:30 AM to 6:30 PM, Monday to Friday, subject to team requirements.</w:t>
      </w:r>
    </w:p>
    <w:p>
      <w:pPr>
        <w:pStyle w:val="ListBullet"/>
      </w:pPr>
      <w:r>
        <w:t>Employees in hybrid roles normally work from their assigned office at least two days per week.</w:t>
      </w:r>
    </w:p>
    <w:p>
      <w:pPr>
        <w:pStyle w:val="ListBullet"/>
      </w:pPr>
      <w:r>
        <w:t>Attendance corrections should be submitted within five working days.</w:t>
      </w:r>
    </w:p>
    <w:p>
      <w:pPr>
        <w:pStyle w:val="ListBullet"/>
      </w:pPr>
      <w:r>
        <w:t>Managers may approve temporary schedule flexibility based on business needs.</w:t>
      </w:r>
    </w:p>
    <w:p>
      <w:pPr>
        <w:pStyle w:val="Heading1"/>
      </w:pPr>
      <w:r>
        <w:t>3. Workplace conduct</w:t>
      </w:r>
    </w:p>
    <w:p>
      <w:pPr>
        <w:pStyle w:val="ListBullet"/>
      </w:pPr>
      <w:r>
        <w:t>Treat colleagues, customers, and partners with dignity and professionalism.</w:t>
      </w:r>
    </w:p>
    <w:p>
      <w:pPr>
        <w:pStyle w:val="ListBullet"/>
      </w:pPr>
      <w:r>
        <w:t>Harassment, discrimination, retaliation, fraud, and conflicts of interest are prohibited.</w:t>
      </w:r>
    </w:p>
    <w:p>
      <w:pPr>
        <w:pStyle w:val="ListBullet"/>
      </w:pPr>
      <w:r>
        <w:t>Raise concerns through the manager, People Operations, or the confidential ethics channel.</w:t>
      </w:r>
    </w:p>
    <w:p>
      <w:pPr>
        <w:pStyle w:val="Heading1"/>
      </w:pPr>
      <w:r>
        <w:t>4. Key contacts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tcMar>
              <w:top w:w="100" w:type="dxa"/>
              <w:start w:w="120" w:type="dxa"/>
              <w:bottom w:w="100" w:type="dxa"/>
              <w:end w:w="120" w:type="dxa"/>
            </w:tcMar>
          </w:tcPr>
          <w:p>
            <w:pPr>
              <w:spacing w:after="40"/>
            </w:pPr>
            <w:r>
              <w:rPr>
                <w:b/>
                <w:color w:val="FFFFFF"/>
              </w:rPr>
              <w:t>Need</w:t>
            </w:r>
          </w:p>
        </w:tc>
        <w:tc>
          <w:tcPr>
            <w:tcW w:type="dxa" w:w="3331"/>
            <w:shd w:fill="1F4E78"/>
            <w:tcMar>
              <w:top w:w="100" w:type="dxa"/>
              <w:start w:w="120" w:type="dxa"/>
              <w:bottom w:w="100" w:type="dxa"/>
              <w:end w:w="120" w:type="dxa"/>
            </w:tcMar>
          </w:tcPr>
          <w:p>
            <w:pPr>
              <w:spacing w:after="40"/>
            </w:pPr>
            <w:r>
              <w:rPr>
                <w:b/>
                <w:color w:val="FFFFFF"/>
              </w:rPr>
              <w:t>Contact</w:t>
            </w:r>
          </w:p>
        </w:tc>
        <w:tc>
          <w:tcPr>
            <w:tcW w:type="dxa" w:w="3331"/>
            <w:shd w:fill="1F4E78"/>
            <w:tcMar>
              <w:top w:w="100" w:type="dxa"/>
              <w:start w:w="120" w:type="dxa"/>
              <w:bottom w:w="100" w:type="dxa"/>
              <w:end w:w="120" w:type="dxa"/>
            </w:tcMar>
          </w:tcPr>
          <w:p>
            <w:pPr>
              <w:spacing w:after="40"/>
            </w:pPr>
            <w:r>
              <w:rPr>
                <w:b/>
                <w:color w:val="FFFFFF"/>
              </w:rPr>
              <w:t>Access</w:t>
            </w:r>
          </w:p>
        </w:tc>
      </w:tr>
      <w:tr>
        <w:tc>
          <w:tcPr>
            <w:tcW w:type="dxa" w:w="3331"/>
            <w:vAlign w:val="center"/>
            <w:tcMar>
              <w:top w:w="100" w:type="dxa"/>
              <w:start w:w="120" w:type="dxa"/>
              <w:bottom w:w="100" w:type="dxa"/>
              <w:end w:w="120" w:type="dxa"/>
            </w:tcMar>
          </w:tcPr>
          <w:p>
            <w:pPr>
              <w:spacing w:after="40"/>
            </w:pPr>
            <w:r>
              <w:t>HR policy and benefits</w:t>
            </w:r>
          </w:p>
        </w:tc>
        <w:tc>
          <w:tcPr>
            <w:tcW w:type="dxa" w:w="3331"/>
            <w:vAlign w:val="center"/>
            <w:tcMar>
              <w:top w:w="100" w:type="dxa"/>
              <w:start w:w="120" w:type="dxa"/>
              <w:bottom w:w="100" w:type="dxa"/>
              <w:end w:w="120" w:type="dxa"/>
            </w:tcMar>
          </w:tcPr>
          <w:p>
            <w:pPr>
              <w:spacing w:after="40"/>
            </w:pPr>
            <w:r>
              <w:t>peopleops@novasphere.example</w:t>
            </w:r>
          </w:p>
        </w:tc>
        <w:tc>
          <w:tcPr>
            <w:tcW w:type="dxa" w:w="3331"/>
            <w:vAlign w:val="center"/>
            <w:tcMar>
              <w:top w:w="100" w:type="dxa"/>
              <w:start w:w="120" w:type="dxa"/>
              <w:bottom w:w="100" w:type="dxa"/>
              <w:end w:w="120" w:type="dxa"/>
            </w:tcMar>
          </w:tcPr>
          <w:p>
            <w:pPr>
              <w:spacing w:after="40"/>
            </w:pPr>
            <w:r>
              <w:t>All employees</w:t>
            </w:r>
          </w:p>
        </w:tc>
      </w:tr>
      <w:tr>
        <w:tc>
          <w:tcPr>
            <w:tcW w:type="dxa" w:w="3331"/>
            <w:vAlign w:val="center"/>
            <w:tcMar>
              <w:top w:w="100" w:type="dxa"/>
              <w:start w:w="120" w:type="dxa"/>
              <w:bottom w:w="100" w:type="dxa"/>
              <w:end w:w="120" w:type="dxa"/>
            </w:tcMar>
          </w:tcPr>
          <w:p>
            <w:pPr>
              <w:spacing w:after="40"/>
            </w:pPr>
            <w:r>
              <w:t>IT service desk</w:t>
            </w:r>
          </w:p>
        </w:tc>
        <w:tc>
          <w:tcPr>
            <w:tcW w:type="dxa" w:w="3331"/>
            <w:vAlign w:val="center"/>
            <w:tcMar>
              <w:top w:w="100" w:type="dxa"/>
              <w:start w:w="120" w:type="dxa"/>
              <w:bottom w:w="100" w:type="dxa"/>
              <w:end w:w="120" w:type="dxa"/>
            </w:tcMar>
          </w:tcPr>
          <w:p>
            <w:pPr>
              <w:spacing w:after="40"/>
            </w:pPr>
            <w:r>
              <w:t>servicedesk@novasphere.example</w:t>
            </w:r>
          </w:p>
        </w:tc>
        <w:tc>
          <w:tcPr>
            <w:tcW w:type="dxa" w:w="3331"/>
            <w:vAlign w:val="center"/>
            <w:tcMar>
              <w:top w:w="100" w:type="dxa"/>
              <w:start w:w="120" w:type="dxa"/>
              <w:bottom w:w="100" w:type="dxa"/>
              <w:end w:w="120" w:type="dxa"/>
            </w:tcMar>
          </w:tcPr>
          <w:p>
            <w:pPr>
              <w:spacing w:after="40"/>
            </w:pPr>
            <w:r>
              <w:t>All employees</w:t>
            </w:r>
          </w:p>
        </w:tc>
      </w:tr>
      <w:tr>
        <w:tc>
          <w:tcPr>
            <w:tcW w:type="dxa" w:w="3331"/>
            <w:vAlign w:val="center"/>
            <w:tcMar>
              <w:top w:w="100" w:type="dxa"/>
              <w:start w:w="120" w:type="dxa"/>
              <w:bottom w:w="100" w:type="dxa"/>
              <w:end w:w="120" w:type="dxa"/>
            </w:tcMar>
          </w:tcPr>
          <w:p>
            <w:pPr>
              <w:spacing w:after="40"/>
            </w:pPr>
            <w:r>
              <w:t>Security incident</w:t>
            </w:r>
          </w:p>
        </w:tc>
        <w:tc>
          <w:tcPr>
            <w:tcW w:type="dxa" w:w="3331"/>
            <w:vAlign w:val="center"/>
            <w:tcMar>
              <w:top w:w="100" w:type="dxa"/>
              <w:start w:w="120" w:type="dxa"/>
              <w:bottom w:w="100" w:type="dxa"/>
              <w:end w:w="120" w:type="dxa"/>
            </w:tcMar>
          </w:tcPr>
          <w:p>
            <w:pPr>
              <w:spacing w:after="40"/>
            </w:pPr>
            <w:r>
              <w:t>security@novasphere.example</w:t>
            </w:r>
          </w:p>
        </w:tc>
        <w:tc>
          <w:tcPr>
            <w:tcW w:type="dxa" w:w="3331"/>
            <w:vAlign w:val="center"/>
            <w:tcMar>
              <w:top w:w="100" w:type="dxa"/>
              <w:start w:w="120" w:type="dxa"/>
              <w:bottom w:w="100" w:type="dxa"/>
              <w:end w:w="120" w:type="dxa"/>
            </w:tcMar>
          </w:tcPr>
          <w:p>
            <w:pPr>
              <w:spacing w:after="40"/>
            </w:pPr>
            <w:r>
              <w:t>All employees</w:t>
            </w:r>
          </w:p>
        </w:tc>
      </w:tr>
      <w:tr>
        <w:tc>
          <w:tcPr>
            <w:tcW w:type="dxa" w:w="3331"/>
            <w:vAlign w:val="center"/>
            <w:tcMar>
              <w:top w:w="100" w:type="dxa"/>
              <w:start w:w="120" w:type="dxa"/>
              <w:bottom w:w="100" w:type="dxa"/>
              <w:end w:w="120" w:type="dxa"/>
            </w:tcMar>
          </w:tcPr>
          <w:p>
            <w:pPr>
              <w:spacing w:after="40"/>
            </w:pPr>
            <w:r>
              <w:t>Payroll query</w:t>
            </w:r>
          </w:p>
        </w:tc>
        <w:tc>
          <w:tcPr>
            <w:tcW w:type="dxa" w:w="3331"/>
            <w:vAlign w:val="center"/>
            <w:tcMar>
              <w:top w:w="100" w:type="dxa"/>
              <w:start w:w="120" w:type="dxa"/>
              <w:bottom w:w="100" w:type="dxa"/>
              <w:end w:w="120" w:type="dxa"/>
            </w:tcMar>
          </w:tcPr>
          <w:p>
            <w:pPr>
              <w:spacing w:after="40"/>
            </w:pPr>
            <w:r>
              <w:t>payroll@novasphere.example</w:t>
            </w:r>
          </w:p>
        </w:tc>
        <w:tc>
          <w:tcPr>
            <w:tcW w:type="dxa" w:w="3331"/>
            <w:vAlign w:val="center"/>
            <w:tcMar>
              <w:top w:w="100" w:type="dxa"/>
              <w:start w:w="120" w:type="dxa"/>
              <w:bottom w:w="100" w:type="dxa"/>
              <w:end w:w="120" w:type="dxa"/>
            </w:tcMar>
          </w:tcPr>
          <w:p>
            <w:pPr>
              <w:spacing w:after="40"/>
            </w:pPr>
            <w:r>
              <w:t>Employee self-service</w:t>
            </w:r>
          </w:p>
        </w:tc>
      </w:tr>
      <w:tr>
        <w:tc>
          <w:tcPr>
            <w:tcW w:type="dxa" w:w="3331"/>
            <w:vAlign w:val="center"/>
            <w:tcMar>
              <w:top w:w="100" w:type="dxa"/>
              <w:start w:w="120" w:type="dxa"/>
              <w:bottom w:w="100" w:type="dxa"/>
              <w:end w:w="120" w:type="dxa"/>
            </w:tcMar>
          </w:tcPr>
          <w:p>
            <w:pPr>
              <w:spacing w:after="40"/>
            </w:pPr>
            <w:r>
              <w:t>Ethics concern</w:t>
            </w:r>
          </w:p>
        </w:tc>
        <w:tc>
          <w:tcPr>
            <w:tcW w:type="dxa" w:w="3331"/>
            <w:vAlign w:val="center"/>
            <w:tcMar>
              <w:top w:w="100" w:type="dxa"/>
              <w:start w:w="120" w:type="dxa"/>
              <w:bottom w:w="100" w:type="dxa"/>
              <w:end w:w="120" w:type="dxa"/>
            </w:tcMar>
          </w:tcPr>
          <w:p>
            <w:pPr>
              <w:spacing w:after="40"/>
            </w:pPr>
            <w:r>
              <w:t>ethics@novasphere.example</w:t>
            </w:r>
          </w:p>
        </w:tc>
        <w:tc>
          <w:tcPr>
            <w:tcW w:type="dxa" w:w="3331"/>
            <w:vAlign w:val="center"/>
            <w:tcMar>
              <w:top w:w="100" w:type="dxa"/>
              <w:start w:w="120" w:type="dxa"/>
              <w:bottom w:w="100" w:type="dxa"/>
              <w:end w:w="120" w:type="dxa"/>
            </w:tcMar>
          </w:tcPr>
          <w:p>
            <w:pPr>
              <w:spacing w:after="40"/>
            </w:pPr>
            <w:r>
              <w:t>Confidential channel</w:t>
            </w:r>
          </w:p>
        </w:tc>
      </w:tr>
    </w:tbl>
    <w:p>
      <w:pPr>
        <w:pStyle w:val="Heading1"/>
      </w:pPr>
      <w:r>
        <w:t>5. Separation</w:t>
      </w:r>
    </w:p>
    <w:p>
      <w:r>
        <w:t>Resignation must be submitted through the HR portal. The standard notice period is 60 calendar days unless the employment agreement states otherwise. Final settlement is processed after asset return and required clearances.</w:t>
      </w:r>
    </w:p>
    <w:p>
      <w:pPr>
        <w:pStyle w:val="Heading1"/>
      </w:pPr>
      <w:r>
        <w:t>6. Document precedence</w:t>
      </w:r>
    </w:p>
    <w:p>
      <w:r>
        <w:t>Specific policies, employment agreements, and applicable law take precedence over this summary. For current balances or transactional status, use the authoritative internal system rather than this handbook.</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 NS-HR-000 | NovaSphere Technologies Pvt.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NovaSphere Technologies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