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60"/>
        <w:jc w:val="center"/>
      </w:pPr>
      <w:r>
        <w:rPr>
          <w:b/>
          <w:bCs/>
          <w:color w:val="1A5C3A"/>
          <w:sz w:val="44"/>
          <w:szCs w:val="44"/>
        </w:rPr>
        <w:t xml:space="preserve">KAY'S PAY</w:t>
      </w:r>
    </w:p>
    <w:p>
      <w:pPr>
        <w:spacing w:after="400"/>
        <w:jc w:val="center"/>
      </w:pPr>
      <w:r>
        <w:rPr>
          <w:color w:val="0F1A14"/>
          <w:sz w:val="30"/>
          <w:szCs w:val="30"/>
        </w:rPr>
        <w:t xml:space="preserve">Compliance Policy Manual</w:t>
      </w:r>
    </w:p>
    <w:p>
      <w:pPr>
        <w:spacing w:after="40"/>
        <w:jc w:val="center"/>
      </w:pPr>
      <w:r>
        <w:rPr>
          <w:i/>
          <w:iCs/>
          <w:color w:val="595959"/>
          <w:sz w:val="22"/>
          <w:szCs w:val="22"/>
        </w:rPr>
        <w:t xml:space="preserve">Prepared for Quidax onboarding review</w:t>
      </w:r>
    </w:p>
    <w:p>
      <w:pPr>
        <w:spacing w:after="500"/>
        <w:jc w:val="center"/>
      </w:pPr>
      <w:r>
        <w:rPr>
          <w:color w:val="595959"/>
          <w:sz w:val="22"/>
          <w:szCs w:val="22"/>
        </w:rPr>
        <w:t xml:space="preserve">Effective date: 8 August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F5F5F5" w:val="clear"/>
          </w:tcPr>
          <w:p>
            <w:r>
              <w:rPr>
                <w:b/>
                <w:bCs/>
                <w:sz w:val="20"/>
                <w:szCs w:val="20"/>
              </w:rPr>
              <w:t xml:space="preserve">Legal entity</w:t>
            </w:r>
          </w:p>
        </w:tc>
        <w:tc>
          <w:tcPr>
            <w:tcW w:type="dxa" w:w="6740"/>
          </w:tcPr>
          <w:p>
            <w:r>
              <w:rPr>
                <w:sz w:val="20"/>
                <w:szCs w:val="20"/>
              </w:rPr>
              <w:t xml:space="preserve">KAY'S LIMITED (RC 9705891)</w:t>
            </w:r>
          </w:p>
        </w:tc>
      </w:tr>
      <w:tr>
        <w:tc>
          <w:tcPr>
            <w:tcW w:type="dxa" w:w="3000"/>
            <w:shd w:fill="F5F5F5" w:val="clear"/>
          </w:tcPr>
          <w:p>
            <w:r>
              <w:rPr>
                <w:b/>
                <w:bCs/>
                <w:sz w:val="20"/>
                <w:szCs w:val="20"/>
              </w:rPr>
              <w:t xml:space="preserve">Trading as</w:t>
            </w:r>
          </w:p>
        </w:tc>
        <w:tc>
          <w:tcPr>
            <w:tcW w:type="dxa" w:w="6740"/>
          </w:tcPr>
          <w:p>
            <w:r>
              <w:rPr>
                <w:sz w:val="20"/>
                <w:szCs w:val="20"/>
              </w:rPr>
              <w:t xml:space="preserve">Kay's Pay</w:t>
            </w:r>
          </w:p>
        </w:tc>
      </w:tr>
      <w:tr>
        <w:tc>
          <w:tcPr>
            <w:tcW w:type="dxa" w:w="3000"/>
            <w:shd w:fill="F5F5F5" w:val="clear"/>
          </w:tcPr>
          <w:p>
            <w:r>
              <w:rPr>
                <w:b/>
                <w:bCs/>
                <w:sz w:val="20"/>
                <w:szCs w:val="20"/>
              </w:rPr>
              <w:t xml:space="preserve">Incorporated</w:t>
            </w:r>
          </w:p>
        </w:tc>
        <w:tc>
          <w:tcPr>
            <w:tcW w:type="dxa" w:w="6740"/>
          </w:tcPr>
          <w:p>
            <w:r>
              <w:rPr>
                <w:sz w:val="20"/>
                <w:szCs w:val="20"/>
              </w:rPr>
              <w:t xml:space="preserve">23 July 2026, under the Companies and Allied Matters Act (CAMA) 2020</w:t>
            </w:r>
          </w:p>
        </w:tc>
      </w:tr>
      <w:tr>
        <w:tc>
          <w:tcPr>
            <w:tcW w:type="dxa" w:w="3000"/>
            <w:shd w:fill="F5F5F5" w:val="clear"/>
          </w:tcPr>
          <w:p>
            <w:r>
              <w:rPr>
                <w:b/>
                <w:bCs/>
                <w:sz w:val="20"/>
                <w:szCs w:val="20"/>
              </w:rPr>
              <w:t xml:space="preserve">Registered office</w:t>
            </w:r>
          </w:p>
        </w:tc>
        <w:tc>
          <w:tcPr>
            <w:tcW w:type="dxa" w:w="6740"/>
          </w:tcPr>
          <w:p>
            <w:r>
              <w:rPr>
                <w:sz w:val="20"/>
                <w:szCs w:val="20"/>
              </w:rPr>
              <w:t xml:space="preserve">Shop 25, Chindah Shopping Plaza, Rivers State University Main Gate, Port Harcourt, Rivers State, Nigeria</w:t>
            </w:r>
          </w:p>
        </w:tc>
      </w:tr>
      <w:tr>
        <w:tc>
          <w:tcPr>
            <w:tcW w:type="dxa" w:w="3000"/>
            <w:shd w:fill="F5F5F5" w:val="clear"/>
          </w:tcPr>
          <w:p>
            <w:r>
              <w:rPr>
                <w:b/>
                <w:bCs/>
                <w:sz w:val="20"/>
                <w:szCs w:val="20"/>
              </w:rPr>
              <w:t xml:space="preserve">Contact</w:t>
            </w:r>
          </w:p>
        </w:tc>
        <w:tc>
          <w:tcPr>
            <w:tcW w:type="dxa" w:w="6740"/>
          </w:tcPr>
          <w:p>
            <w:r>
              <w:rPr>
                <w:sz w:val="20"/>
                <w:szCs w:val="20"/>
              </w:rPr>
              <w:t xml:space="preserve">support@kayspay.com.ng · 0802 838 7709</w:t>
            </w:r>
          </w:p>
        </w:tc>
      </w:tr>
      <w:tr>
        <w:tc>
          <w:tcPr>
            <w:tcW w:type="dxa" w:w="3000"/>
            <w:shd w:fill="F5F5F5" w:val="clear"/>
          </w:tcPr>
          <w:p>
            <w:r>
              <w:rPr>
                <w:b/>
                <w:bCs/>
                <w:sz w:val="20"/>
                <w:szCs w:val="20"/>
              </w:rPr>
              <w:t xml:space="preserve">Website / App</w:t>
            </w:r>
          </w:p>
        </w:tc>
        <w:tc>
          <w:tcPr>
            <w:tcW w:type="dxa" w:w="6740"/>
          </w:tcPr>
          <w:p>
            <w:r>
              <w:rPr>
                <w:sz w:val="20"/>
                <w:szCs w:val="20"/>
              </w:rPr>
              <w:t xml:space="preserve">https://kayspay.com.ng</w:t>
            </w:r>
          </w:p>
        </w:tc>
      </w:tr>
      <w:tr>
        <w:tc>
          <w:tcPr>
            <w:tcW w:type="dxa" w:w="3000"/>
            <w:shd w:fill="F5F5F5" w:val="clear"/>
          </w:tcPr>
          <w:p>
            <w:r>
              <w:rPr>
                <w:b/>
                <w:bCs/>
                <w:sz w:val="20"/>
                <w:szCs w:val="20"/>
              </w:rPr>
              <w:t xml:space="preserve">Chief Executive Officer</w:t>
            </w:r>
          </w:p>
        </w:tc>
        <w:tc>
          <w:tcPr>
            <w:tcW w:type="dxa" w:w="6740"/>
          </w:tcPr>
          <w:p>
            <w:r>
              <w:rPr>
                <w:sz w:val="20"/>
                <w:szCs w:val="20"/>
              </w:rPr>
              <w:t xml:space="preserve">Ifekwe Kalu Ifekwe</w:t>
            </w:r>
          </w:p>
        </w:tc>
      </w:tr>
      <w:tr>
        <w:tc>
          <w:tcPr>
            <w:tcW w:type="dxa" w:w="3000"/>
            <w:shd w:fill="F5F5F5" w:val="clear"/>
          </w:tcPr>
          <w:p>
            <w:r>
              <w:rPr>
                <w:b/>
                <w:bCs/>
                <w:sz w:val="20"/>
                <w:szCs w:val="20"/>
              </w:rPr>
              <w:t xml:space="preserve">Interim Compliance Officer / MLRO</w:t>
            </w:r>
          </w:p>
        </w:tc>
        <w:tc>
          <w:tcPr>
            <w:tcW w:type="dxa" w:w="6740"/>
          </w:tcPr>
          <w:p>
            <w:r>
              <w:rPr>
                <w:sz w:val="20"/>
                <w:szCs w:val="20"/>
              </w:rPr>
              <w:t xml:space="preserve">Ifekwe Kalu Ifekwe (CEO) — interim designation, see Section 1.4</w:t>
            </w:r>
          </w:p>
        </w:tc>
      </w:tr>
      <w:tr>
        <w:tc>
          <w:tcPr>
            <w:tcW w:type="dxa" w:w="3000"/>
            <w:shd w:fill="F5F5F5" w:val="clear"/>
          </w:tcPr>
          <w:p>
            <w:r>
              <w:rPr>
                <w:b/>
                <w:bCs/>
                <w:sz w:val="20"/>
                <w:szCs w:val="20"/>
              </w:rPr>
              <w:t xml:space="preserve">Market served</w:t>
            </w:r>
          </w:p>
        </w:tc>
        <w:tc>
          <w:tcPr>
            <w:tcW w:type="dxa" w:w="6740"/>
          </w:tcPr>
          <w:p>
            <w:r>
              <w:rPr>
                <w:sz w:val="20"/>
                <w:szCs w:val="20"/>
              </w:rPr>
              <w:t xml:space="preserve">Federal Republic of Nigeria only</w:t>
            </w:r>
          </w:p>
        </w:tc>
      </w:tr>
      <w:tr>
        <w:tc>
          <w:tcPr>
            <w:tcW w:type="dxa" w:w="3000"/>
            <w:shd w:fill="F5F5F5" w:val="clear"/>
          </w:tcPr>
          <w:p>
            <w:r>
              <w:rPr>
                <w:b/>
                <w:bCs/>
                <w:sz w:val="20"/>
                <w:szCs w:val="20"/>
              </w:rPr>
              <w:t xml:space="preserve">Document owner</w:t>
            </w:r>
          </w:p>
        </w:tc>
        <w:tc>
          <w:tcPr>
            <w:tcW w:type="dxa" w:w="6740"/>
          </w:tcPr>
          <w:p>
            <w:r>
              <w:rPr>
                <w:sz w:val="20"/>
                <w:szCs w:val="20"/>
              </w:rPr>
              <w:t xml:space="preserve">Compliance Officer / MLRO</w:t>
            </w:r>
          </w:p>
        </w:tc>
      </w:tr>
      <w:tr>
        <w:tc>
          <w:tcPr>
            <w:tcW w:type="dxa" w:w="3000"/>
            <w:shd w:fill="F5F5F5" w:val="clear"/>
          </w:tcPr>
          <w:p>
            <w:r>
              <w:rPr>
                <w:b/>
                <w:bCs/>
                <w:sz w:val="20"/>
                <w:szCs w:val="20"/>
              </w:rPr>
              <w:t xml:space="preserve">Version</w:t>
            </w:r>
          </w:p>
        </w:tc>
        <w:tc>
          <w:tcPr>
            <w:tcW w:type="dxa" w:w="6740"/>
          </w:tcPr>
          <w:p>
            <w:r>
              <w:rPr>
                <w:sz w:val="20"/>
                <w:szCs w:val="20"/>
              </w:rPr>
              <w:t xml:space="preserve">1.1 (Draft for legal review — Anti-Bribery &amp; Corruption section added)</w:t>
            </w:r>
          </w:p>
        </w:tc>
      </w:tr>
    </w:tbl>
    <w:p>
      <w:r>
        <w:br w:type="page"/>
      </w:r>
    </w:p>
    <w:p>
      <w:pPr>
        <w:pStyle w:val="Heading2"/>
        <w:spacing w:after="120" w:before="24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400"/>
      </w:pPr>
      <w:r>
        <w:t xml:space="preserve">1. Anti-Money Laundering, Counter-Terrorist Financing and Counter-Proliferation Financing (AML/CFT/CPF) Policy</w:t>
      </w:r>
    </w:p>
    <w:p>
      <w:pPr>
        <w:spacing w:after="200"/>
      </w:pPr>
      <w:r>
        <w:rPr>
          <w:b/>
          <w:bCs/>
          <w:i/>
          <w:iCs/>
        </w:rPr>
        <w:t xml:space="preserve">Purpose: </w:t>
      </w:r>
      <w:r>
        <w:rPr>
          <w:i/>
          <w:iCs/>
          <w:color w:val="595959"/>
        </w:rPr>
        <w:t xml:space="preserve">To prevent Kay's Pay's wallet, funding and bill-payment services from being used to launder criminal proceeds, finance terrorism, or finance proliferation of weapons, and to meet Kay's Limited's obligations under Nigerian AML/CFT law as a payments business.</w:t>
      </w:r>
    </w:p>
    <w:p>
      <w:pPr>
        <w:pStyle w:val="Heading2"/>
        <w:spacing w:after="120" w:before="240"/>
      </w:pPr>
      <w:r>
        <w:t xml:space="preserve">1.1 Regulatory basis</w:t>
      </w:r>
    </w:p>
    <w:p>
      <w:pPr>
        <w:spacing w:after="140" w:line="276"/>
      </w:pPr>
      <w:r>
        <w:t xml:space="preserve">This policy is built around the Money Laundering (Prevention and Prohibition) Act 2022, the Terrorism (Prevention and Prohibition) Act 2022, Central Bank of Nigeria (CBN) AML/CFT regulations applicable to payment service providers, and the CBN's Baseline Standards for Automated AML Solutions (Circular BSD/DIR/PUB/LAB/019/002, issued 10 March 2026), which set minimum requirements for automated KYC/KYB and AML/CFT/CPF controls at regulated Nigerian financial institutions and fintechs. Kay's Limited will confirm its precise regulatory category and applicable obligations with legal counsel.</w:t>
      </w:r>
    </w:p>
    <w:p>
      <w:pPr>
        <w:pStyle w:val="Heading2"/>
        <w:spacing w:after="120" w:before="240"/>
      </w:pPr>
      <w:r>
        <w:t xml:space="preserve">1.2 Risk-based approach</w:t>
      </w:r>
    </w:p>
    <w:p>
      <w:pPr>
        <w:spacing w:after="140" w:line="276"/>
      </w:pPr>
      <w:r>
        <w:t xml:space="preserve">Kay's Pay applies a risk-based approach: the extent of customer due diligence, transaction monitoring and ongoing review is proportionate to the money-laundering/terrorist-financing risk a customer or transaction presents, having regard to customer type, product, delivery channel, transaction value and pattern, and geography.</w:t>
      </w:r>
    </w:p>
    <w:p>
      <w:pPr>
        <w:pStyle w:val="Heading2"/>
        <w:spacing w:after="120" w:before="240"/>
      </w:pPr>
      <w:r>
        <w:t xml:space="preserve">1.3 Prohibited activity</w:t>
      </w:r>
    </w:p>
    <w:p>
      <w:pPr>
        <w:spacing w:after="140" w:line="276"/>
      </w:pPr>
      <w:r>
        <w:t xml:space="preserve">Kay's Pay must not knowingly process a transaction connected to money laundering, terrorist financing, proliferation financing, fraud, or any other unlawful activity. Staff and contractors must not tip off a customer that a report has been or will be made to the Nigerian Financial Intelligence Unit (NFIU) or another authority.</w:t>
      </w:r>
    </w:p>
    <w:p>
      <w:pPr>
        <w:pStyle w:val="Heading2"/>
        <w:spacing w:after="120" w:before="240"/>
      </w:pPr>
      <w:r>
        <w:t xml:space="preserve">1.4 Compliance Officer / MLRO</w:t>
      </w:r>
    </w:p>
    <w:p>
      <w:pPr>
        <w:spacing w:after="140" w:line="276"/>
      </w:pPr>
      <w:r>
        <w:t xml:space="preserve">Ifekwe Kalu Ifekwe, Chief Executive Officer, is designated interim Compliance Officer and Money Laundering Reporting Officer for Kay's Limited from the effective date of this manual. The MLRO is responsible for this policy's implementation, for escalation decisions on suspicious activity, for regulatory liaison, and for this manual's annual review. Kay's Limited intends to appoint a dedicated, sufficiently independent Compliance Officer/MLRO as transaction volumes and headcount grow.</w:t>
      </w:r>
    </w:p>
    <w:p>
      <w:pPr>
        <w:pStyle w:val="Heading2"/>
        <w:spacing w:after="120" w:before="240"/>
      </w:pPr>
      <w:r>
        <w:t xml:space="preserve">1.5 Programme elements</w:t>
      </w:r>
    </w:p>
    <w:p>
      <w:pPr>
        <w:spacing w:after="140" w:line="276"/>
      </w:pPr>
      <w:r>
        <w:t xml:space="preserve">Kay's Pay's AML/CFT/CPF programme has five elements, each detailed in its own policy referenced below: (a) Know Your Customer, Customer Due Diligence and Enhanced Due Diligence (Section 2); (b) sanctions, politically exposed persons and adverse-media screening (Section 3); (c) transaction monitoring and suspicious activity reporting (Section 4); (d) source of funds and source of wealth procedures (Section 5); (e) record-keeping and regulatory cooperation (Section 7).</w:t>
      </w:r>
    </w:p>
    <w:p>
      <w:pPr>
        <w:pBdr>
          <w:left w:val="single" w:color="1A5C3A" w:sz="18"/>
        </w:pBdr>
        <w:shd w:fill="EAF4EE" w:val="clear"/>
        <w:spacing w:after="160" w:before="80"/>
        <w:ind w:left="200"/>
      </w:pPr>
      <w:r>
        <w:rPr>
          <w:b/>
          <w:bCs/>
          <w:color w:val="1A5C3A"/>
        </w:rPr>
        <w:t xml:space="preserve">In place today: </w:t>
      </w:r>
      <w:r>
        <w:rPr>
          <w:color w:val="0F1A14"/>
        </w:rPr>
        <w:t xml:space="preserve">Server-authoritative wallet ledger. Every debit and credit runs through atomic, idempotency-keyed database functions; a customer's balance can never be adjusted by client-supplied values, and every movement is logged to an immutable transactions table.</w:t>
      </w:r>
    </w:p>
    <w:p>
      <w:pPr>
        <w:pBdr>
          <w:left w:val="single" w:color="D8A400" w:sz="18"/>
        </w:pBdr>
        <w:shd w:fill="FFF6DA" w:val="clear"/>
        <w:spacing w:after="160" w:before="80"/>
        <w:ind w:left="200"/>
      </w:pPr>
      <w:r>
        <w:rPr>
          <w:b/>
          <w:bCs/>
          <w:color w:val="8A6400"/>
        </w:rPr>
        <w:t xml:space="preserve">Status: </w:t>
      </w:r>
      <w:r>
        <w:rPr>
          <w:color w:val="8A6400"/>
        </w:rPr>
        <w:t xml:space="preserve">Formal AML/CFT/CPF risk assessment (enterprise-wide risk assessment covering customer, product, channel and geographic risk) is not yet documented as a standalone artifact and should be completed and reviewed by counsel before this policy is relied upon externally.</w:t>
      </w:r>
    </w:p>
    <w:p>
      <w:pPr>
        <w:pStyle w:val="Heading2"/>
        <w:spacing w:after="120" w:before="240"/>
      </w:pPr>
      <w:r>
        <w:t xml:space="preserve">1.6 Training</w:t>
      </w:r>
    </w:p>
    <w:p>
      <w:pPr>
        <w:spacing w:after="140" w:line="276"/>
      </w:pPr>
      <w:r>
        <w:t xml:space="preserve">All staff and contractors with access to customer funds, KYC data or transaction records must receive AML/CFT/CPF awareness training on joining Kay's Limited and at least annually thereafter, covering red flags, escalation procedure, and the prohibition on tipping off.</w:t>
      </w:r>
    </w:p>
    <w:p>
      <w:pPr>
        <w:pStyle w:val="Heading1"/>
        <w:pageBreakBefore/>
        <w:spacing w:after="200" w:before="400"/>
      </w:pPr>
      <w:r>
        <w:t xml:space="preserve">2. Know Your Customer (KYC/KYB), Customer Due Diligence and Enhanced Due Diligence Policy</w:t>
      </w:r>
    </w:p>
    <w:p>
      <w:pPr>
        <w:spacing w:after="200"/>
      </w:pPr>
      <w:r>
        <w:rPr>
          <w:b/>
          <w:bCs/>
          <w:i/>
          <w:iCs/>
        </w:rPr>
        <w:t xml:space="preserve">Purpose: </w:t>
      </w:r>
      <w:r>
        <w:rPr>
          <w:i/>
          <w:iCs/>
          <w:color w:val="595959"/>
        </w:rPr>
        <w:t xml:space="preserve">To verify the identity of every customer before providing wallet-funding and payment services, and to apply deeper scrutiny where risk is higher.</w:t>
      </w:r>
    </w:p>
    <w:p>
      <w:pPr>
        <w:pStyle w:val="Heading2"/>
        <w:spacing w:after="120" w:before="240"/>
      </w:pPr>
      <w:r>
        <w:t xml:space="preserve">2.1 Identity verification provider</w:t>
      </w:r>
    </w:p>
    <w:p>
      <w:pPr>
        <w:spacing w:after="140" w:line="276"/>
      </w:pPr>
      <w:r>
        <w:t xml:space="preserve">Kay's Pay uses Prembly as its identity verification provider, integrated directly into the application backend. National Identification Number (NIN) verification is available to customers as part of the identity-verification feature; Bank Verification Number (BVN) verification and a printable BVN slip are offered as a separate, explicitly paid service. Obtaining a dedicated virtual bank account for wallet funding (via Kay's Pay's banking partner) requires the customer to submit a valid BVN or NIN, consistent with Nigerian banking KYC requirements for dedicated/virtual account issuance.</w:t>
      </w:r>
    </w:p>
    <w:p>
      <w:pPr>
        <w:pStyle w:val="Heading2"/>
        <w:spacing w:after="120" w:before="240"/>
      </w:pPr>
      <w:r>
        <w:t xml:space="preserve">2.2 Tiered KYC framework</w:t>
      </w:r>
    </w:p>
    <w:p>
      <w:pPr>
        <w:spacing w:after="140" w:line="276"/>
      </w:pPr>
      <w:r>
        <w:t xml:space="preserve">Kay's Pay will align its onboarding to the tiered KYC model set out in the CBN's Baseline Standards for Automated AML Solutions: Tier 1 (BVN or NIN linkage only, subject to a lower daily transaction limit), Tier 2 (verified government-issued ID plus address, subject to a higher daily limit), and Tier 3 (full identity and, where applicable, beneficial-ownership verification, with no standard daily limit).</w:t>
      </w:r>
    </w:p>
    <w:p>
      <w:pPr>
        <w:pBdr>
          <w:left w:val="single" w:color="D8A400" w:sz="18"/>
        </w:pBdr>
        <w:shd w:fill="FFF6DA" w:val="clear"/>
        <w:spacing w:after="160" w:before="80"/>
        <w:ind w:left="200"/>
      </w:pPr>
      <w:r>
        <w:rPr>
          <w:b/>
          <w:bCs/>
          <w:color w:val="8A6400"/>
        </w:rPr>
        <w:t xml:space="preserve">Status: </w:t>
      </w:r>
      <w:r>
        <w:rPr>
          <w:color w:val="8A6400"/>
        </w:rPr>
        <w:t xml:space="preserve">Enforced per-tier transaction/daily limits are not yet built into the application. Today, identity verification gates access to specific features (for example, a dedicated funding account) rather than a graduated wallet-wide limit structure. Implementing and enforcing Tier 1/2/3 limits in the product is a planned control and a prerequisite before this section is described to Quidax or a regulator as fully operational.</w:t>
      </w:r>
    </w:p>
    <w:p>
      <w:pPr>
        <w:pStyle w:val="Heading2"/>
        <w:spacing w:after="120" w:before="240"/>
      </w:pPr>
      <w:r>
        <w:t xml:space="preserve">2.3 Standard Customer Due Diligence (CDD)</w:t>
      </w:r>
    </w:p>
    <w:p>
      <w:pPr>
        <w:spacing w:after="140" w:line="276"/>
      </w:pPr>
      <w:r>
        <w:t xml:space="preserve">At a minimum, Kay's Pay collects and verifies: full legal name, phone number, email address (verified by one-time code), and a government identity number (NIN and/or BVN) verified against the National Identity Management Commission (NIMC) or Nigeria Inter-Bank Settlement System (NIBSS) records via Prembly. Verified NIN data may be used to confirm the customer's display name.</w:t>
      </w:r>
    </w:p>
    <w:p>
      <w:pPr>
        <w:pStyle w:val="Heading2"/>
        <w:spacing w:after="120" w:before="240"/>
      </w:pPr>
      <w:r>
        <w:t xml:space="preserve">2.4 Enhanced Due Diligence (EDD)</w:t>
      </w:r>
    </w:p>
    <w:p>
      <w:pPr>
        <w:spacing w:after="140" w:line="276"/>
      </w:pPr>
      <w:r>
        <w:t xml:space="preserve">EDD applies to any customer who: is identified as a Politically Exposed Person (PEP) or close associate of one; is connected to a jurisdiction subject to Financial Action Task Force (FATF) call-for-action or increased monitoring; presents an adverse-media match that is not clearly a false positive; requests unusually high-value funding or an unusual transaction pattern; or is otherwise flagged by the Compliance Officer/MLRO as higher risk. EDD includes obtaining source-of-funds information (Section 5), more frequent review, and MLRO sign-off before the relationship continues.</w:t>
      </w:r>
    </w:p>
    <w:p>
      <w:pPr>
        <w:pStyle w:val="Heading2"/>
        <w:spacing w:after="120" w:before="240"/>
      </w:pPr>
      <w:r>
        <w:t xml:space="preserve">2.5 KYB (business customers)</w:t>
      </w:r>
    </w:p>
    <w:p>
      <w:pPr>
        <w:pBdr>
          <w:left w:val="single" w:color="D8A400" w:sz="18"/>
        </w:pBdr>
        <w:shd w:fill="FFF6DA" w:val="clear"/>
        <w:spacing w:after="160" w:before="80"/>
        <w:ind w:left="200"/>
      </w:pPr>
      <w:r>
        <w:rPr>
          <w:b/>
          <w:bCs/>
          <w:color w:val="8A6400"/>
        </w:rPr>
        <w:t xml:space="preserve">Status: </w:t>
      </w:r>
      <w:r>
        <w:rPr>
          <w:color w:val="8A6400"/>
        </w:rPr>
        <w:t xml:space="preserve">Kay's Pay's current customer base is retail/individual. If Kay's Pay onboards business customers in future, a Know-Your-Business procedure (verifying CAC registration, beneficial owners holding 5% or more, and authorised signatories) will be added to this section before business onboarding opens.</w:t>
      </w:r>
    </w:p>
    <w:p>
      <w:pPr>
        <w:pStyle w:val="Heading2"/>
        <w:spacing w:after="120" w:before="240"/>
      </w:pPr>
      <w:r>
        <w:t xml:space="preserve">2.6 Ongoing due diligence</w:t>
      </w:r>
    </w:p>
    <w:p>
      <w:pPr>
        <w:spacing w:after="140" w:line="276"/>
      </w:pPr>
      <w:r>
        <w:t xml:space="preserve">Customer identity data and risk classification are reviewed periodically and whenever a significant change in behaviour, a screening alert, or a law-enforcement request occurs. Where a customer cannot be re-verified on request, Kay's Pay may restrict the account under the Fraud Prevention and Account Restriction Policy (Section 6).</w:t>
      </w:r>
    </w:p>
    <w:p>
      <w:pPr>
        <w:pStyle w:val="Heading1"/>
        <w:pageBreakBefore/>
        <w:spacing w:after="200" w:before="400"/>
      </w:pPr>
      <w:r>
        <w:t xml:space="preserve">3. Sanctions, Politically Exposed Persons (PEP) and Adverse Media Screening Policy</w:t>
      </w:r>
    </w:p>
    <w:p>
      <w:pPr>
        <w:spacing w:after="200"/>
      </w:pPr>
      <w:r>
        <w:rPr>
          <w:b/>
          <w:bCs/>
          <w:i/>
          <w:iCs/>
        </w:rPr>
        <w:t xml:space="preserve">Purpose: </w:t>
      </w:r>
      <w:r>
        <w:rPr>
          <w:i/>
          <w:iCs/>
          <w:color w:val="595959"/>
        </w:rPr>
        <w:t xml:space="preserve">To prevent Kay's Pay from providing services to sanctioned individuals or entities, and to apply appropriate scrutiny to politically exposed persons and customers linked to adverse media.</w:t>
      </w:r>
    </w:p>
    <w:p>
      <w:pPr>
        <w:pStyle w:val="Heading2"/>
        <w:spacing w:after="120" w:before="240"/>
      </w:pPr>
      <w:r>
        <w:t xml:space="preserve">3.1 Screening lists</w:t>
      </w:r>
    </w:p>
    <w:p>
      <w:pPr>
        <w:spacing w:after="140" w:line="276"/>
      </w:pPr>
      <w:r>
        <w:t xml:space="preserve">Kay's Pay's screening programme, once implemented, will check customers against: United Nations Security Council Consolidated Sanctions List; relevant Office of Foreign Assets Control (OFAC) lists; UK and EU sanctions lists as applicable to Kay's Pay's counterparties; the Nigerian NFIU/EFCC domestic designated-persons lists; and a recognised PEP and adverse-media database.</w:t>
      </w:r>
    </w:p>
    <w:p>
      <w:pPr>
        <w:pBdr>
          <w:left w:val="single" w:color="D8A400" w:sz="18"/>
        </w:pBdr>
        <w:shd w:fill="FFF6DA" w:val="clear"/>
        <w:spacing w:after="160" w:before="80"/>
        <w:ind w:left="200"/>
      </w:pPr>
      <w:r>
        <w:rPr>
          <w:b/>
          <w:bCs/>
          <w:color w:val="8A6400"/>
        </w:rPr>
        <w:t xml:space="preserve">Status: </w:t>
      </w:r>
      <w:r>
        <w:rPr>
          <w:color w:val="8A6400"/>
        </w:rPr>
        <w:t xml:space="preserve">Automated sanctions, PEP and adverse-media screening is not yet integrated into onboarding. This is a required control before Kay's Pay accepts Quidax's onboarding obligations, and before any AML programme built from this manual is described as operational. Kay's Limited should procure a screening provider (commonly bundled with an identity-verification or dedicated AML vendor) and integrate a screening check into the onboarding flow and into periodic re-screening of the existing customer base.</w:t>
      </w:r>
    </w:p>
    <w:p>
      <w:pPr>
        <w:pStyle w:val="Heading2"/>
        <w:spacing w:after="120" w:before="240"/>
      </w:pPr>
      <w:r>
        <w:t xml:space="preserve">3.2 Screening at onboarding and on an ongoing basis</w:t>
      </w:r>
    </w:p>
    <w:p>
      <w:pPr>
        <w:spacing w:after="140" w:line="276"/>
      </w:pPr>
      <w:r>
        <w:t xml:space="preserve">Once implemented, every customer will be screened at onboarding, before a screening list update takes effect (batch re-screen), and immediately on request from a competent authority. A confirmed sanctions match must result in immediate account restriction, no further transactions processed, and immediate escalation to the Compliance Officer/MLRO, who determines whether assets must be frozen and reported under applicable law.</w:t>
      </w:r>
    </w:p>
    <w:p>
      <w:pPr>
        <w:pStyle w:val="Heading2"/>
        <w:spacing w:after="120" w:before="240"/>
      </w:pPr>
      <w:r>
        <w:t xml:space="preserve">3.3 Handling a potential match</w:t>
      </w:r>
    </w:p>
    <w:p>
      <w:pPr>
        <w:pStyle w:val="ListParagraph"/>
        <w:numPr>
          <w:ilvl w:val="0"/>
          <w:numId w:val="1"/>
        </w:numPr>
        <w:spacing w:after="80" w:line="264"/>
      </w:pPr>
      <w:r>
        <w:t xml:space="preserve">A potential match is reviewed by the Compliance Officer/MLRO before any action is taken against the customer.</w:t>
      </w:r>
    </w:p>
    <w:p>
      <w:pPr>
        <w:pStyle w:val="ListParagraph"/>
        <w:numPr>
          <w:ilvl w:val="0"/>
          <w:numId w:val="1"/>
        </w:numPr>
        <w:spacing w:after="80" w:line="264"/>
      </w:pPr>
      <w:r>
        <w:t xml:space="preserve">A false positive is documented and cleared; the customer is not notified that screening occurred.</w:t>
      </w:r>
    </w:p>
    <w:p>
      <w:pPr>
        <w:pStyle w:val="ListParagraph"/>
        <w:numPr>
          <w:ilvl w:val="0"/>
          <w:numId w:val="1"/>
        </w:numPr>
        <w:spacing w:after="80" w:line="264"/>
      </w:pPr>
      <w:r>
        <w:t xml:space="preserve">A confirmed or credible match triggers immediate restriction under Section 6 and consideration of a suspicious activity report under Section 4.</w:t>
      </w:r>
    </w:p>
    <w:p>
      <w:pPr>
        <w:pStyle w:val="ListParagraph"/>
        <w:numPr>
          <w:ilvl w:val="0"/>
          <w:numId w:val="1"/>
        </w:numPr>
        <w:spacing w:after="80" w:line="264"/>
      </w:pPr>
      <w:r>
        <w:t xml:space="preserve">PEP matches that are not sanctions matches move the customer to Enhanced Due Diligence (Section 2.4) rather than automatic restriction.</w:t>
      </w:r>
    </w:p>
    <w:p>
      <w:pPr>
        <w:pStyle w:val="Heading2"/>
        <w:spacing w:after="120" w:before="240"/>
      </w:pPr>
      <w:r>
        <w:t xml:space="preserve">3.4 Record of screening decisions</w:t>
      </w:r>
    </w:p>
    <w:p>
      <w:pPr>
        <w:spacing w:after="140" w:line="276"/>
      </w:pPr>
      <w:r>
        <w:t xml:space="preserve">Every screening decision, including a cleared false positive, is retained for the period set out in the Record Retention Policy (Section 7) and is available to the Compliance Officer/MLRO and, on lawful request, to regulators and law enforcement.</w:t>
      </w:r>
    </w:p>
    <w:p>
      <w:pPr>
        <w:pStyle w:val="Heading1"/>
        <w:pageBreakBefore/>
        <w:spacing w:after="200" w:before="400"/>
      </w:pPr>
      <w:r>
        <w:t xml:space="preserve">4. Transaction Monitoring and Suspicious Activity Reporting Policy</w:t>
      </w:r>
    </w:p>
    <w:p>
      <w:pPr>
        <w:spacing w:after="200"/>
      </w:pPr>
      <w:r>
        <w:rPr>
          <w:b/>
          <w:bCs/>
          <w:i/>
          <w:iCs/>
        </w:rPr>
        <w:t xml:space="preserve">Purpose: </w:t>
      </w:r>
      <w:r>
        <w:rPr>
          <w:i/>
          <w:iCs/>
          <w:color w:val="595959"/>
        </w:rPr>
        <w:t xml:space="preserve">To detect transaction patterns consistent with money laundering, terrorist financing, or fraud, and to report suspicious activity to the Nigerian Financial Intelligence Unit (NFIU) as required by law.</w:t>
      </w:r>
    </w:p>
    <w:p>
      <w:pPr>
        <w:pStyle w:val="Heading2"/>
        <w:spacing w:after="120" w:before="240"/>
      </w:pPr>
      <w:r>
        <w:t xml:space="preserve">4.1 What Kay's Pay monitors today</w:t>
      </w:r>
    </w:p>
    <w:p>
      <w:pPr>
        <w:pBdr>
          <w:left w:val="single" w:color="1A5C3A" w:sz="18"/>
        </w:pBdr>
        <w:shd w:fill="EAF4EE" w:val="clear"/>
        <w:spacing w:after="160" w:before="80"/>
        <w:ind w:left="200"/>
      </w:pPr>
      <w:r>
        <w:rPr>
          <w:b/>
          <w:bCs/>
          <w:color w:val="1A5C3A"/>
        </w:rPr>
        <w:t xml:space="preserve">In place today: </w:t>
      </w:r>
      <w:r>
        <w:rPr>
          <w:color w:val="0F1A14"/>
        </w:rPr>
        <w:t xml:space="preserve">An automated financial-integrity monitor runs on a schedule and raises alerts for: negative wallet balances, transactions stuck in a pending state beyond an expected window, duplicate provider references (a signal of possible double-processing or fraud), and elevated failure rates by service or provider. Every wallet debit and credit is idempotency-keyed, so a retried or duplicated request can never double-charge a customer or double-credit a wallet. A kill-switch (“service controls”) lets an authorised operator immediately pause a specific service (VTU, eSIM, foreign numbers, or identity services) if a pattern requires investigation, without affecting unrelated services.</w:t>
      </w:r>
    </w:p>
    <w:p>
      <w:pPr>
        <w:pStyle w:val="Heading2"/>
        <w:spacing w:after="120" w:before="240"/>
      </w:pPr>
      <w:r>
        <w:t xml:space="preserve">4.2 What is planned</w:t>
      </w:r>
    </w:p>
    <w:p>
      <w:pPr>
        <w:pBdr>
          <w:left w:val="single" w:color="D8A400" w:sz="18"/>
        </w:pBdr>
        <w:shd w:fill="FFF6DA" w:val="clear"/>
        <w:spacing w:after="160" w:before="80"/>
        <w:ind w:left="200"/>
      </w:pPr>
      <w:r>
        <w:rPr>
          <w:b/>
          <w:bCs/>
          <w:color w:val="8A6400"/>
        </w:rPr>
        <w:t xml:space="preserve">Status: </w:t>
      </w:r>
      <w:r>
        <w:rPr>
          <w:color w:val="8A6400"/>
        </w:rPr>
        <w:t xml:space="preserve">Dedicated AML transaction-monitoring rules — for example, structuring detection (multiple transactions just below a reporting threshold), unusual velocity for a customer's history, geographic risk correlation, and rules tuned specifically to money-laundering typologies rather than operational/fraud integrity — are not yet implemented as a distinct system. This is a planned control, expected to be delivered either through a dedicated transaction-monitoring vendor or a rules engine built on the existing transaction ledger, before Kay's Pay represents its AML transaction-monitoring programme as fully operational to Quidax or a regulator.</w:t>
      </w:r>
    </w:p>
    <w:p>
      <w:pPr>
        <w:pStyle w:val="Heading2"/>
        <w:spacing w:after="120" w:before="240"/>
      </w:pPr>
      <w:r>
        <w:t xml:space="preserve">4.3 Escalation and suspicious activity reports</w:t>
      </w:r>
    </w:p>
    <w:p>
      <w:pPr>
        <w:spacing w:after="140" w:line="276"/>
      </w:pPr>
      <w:r>
        <w:t xml:space="preserve">Any employee, contractor, or automated alert that identifies activity potentially connected to money laundering, terrorist financing, fraud, or another predicate offence must escalate immediately to the Compliance Officer/MLRO. The MLRO decides, on a documented basis, whether the activity meets the threshold for a Suspicious Transaction Report (STR) or Suspicious Activity Report (SAR) to the NFIU, and files the report within the timeframe required by Nigerian law. Kay's Pay does not take a customer's own explanation as conclusive; it corroborates against transaction history and, where EDD applies, source-of-funds information.</w:t>
      </w:r>
    </w:p>
    <w:p>
      <w:pPr>
        <w:pStyle w:val="Heading2"/>
        <w:spacing w:after="120" w:before="240"/>
      </w:pPr>
      <w:r>
        <w:t xml:space="preserve">4.4 No tipping off</w:t>
      </w:r>
    </w:p>
    <w:p>
      <w:pPr>
        <w:spacing w:after="140" w:line="276"/>
      </w:pPr>
      <w:r>
        <w:t xml:space="preserve">No employee, contractor, or system communication may inform a customer, directly or indirectly, that a report has been made or is being considered. This restriction survives termination of employment or engagement.</w:t>
      </w:r>
    </w:p>
    <w:p>
      <w:pPr>
        <w:pStyle w:val="Heading2"/>
        <w:spacing w:after="120" w:before="240"/>
      </w:pPr>
      <w:r>
        <w:t xml:space="preserve">4.5 Threshold reporting</w:t>
      </w:r>
    </w:p>
    <w:p>
      <w:pPr>
        <w:spacing w:after="140" w:line="276"/>
      </w:pPr>
      <w:r>
        <w:t xml:space="preserve">Kay's Pay will comply with any applicable currency/threshold transaction reporting obligation under Nigerian law once its regulatory category and reporting obligations are confirmed with counsel.</w:t>
      </w:r>
    </w:p>
    <w:p>
      <w:pPr>
        <w:pStyle w:val="Heading1"/>
        <w:pageBreakBefore/>
        <w:spacing w:after="200" w:before="400"/>
      </w:pPr>
      <w:r>
        <w:t xml:space="preserve">5. Source of Funds and Source of Wealth Procedure</w:t>
      </w:r>
    </w:p>
    <w:p>
      <w:pPr>
        <w:spacing w:after="200"/>
      </w:pPr>
      <w:r>
        <w:rPr>
          <w:b/>
          <w:bCs/>
          <w:i/>
          <w:iCs/>
        </w:rPr>
        <w:t xml:space="preserve">Purpose: </w:t>
      </w:r>
      <w:r>
        <w:rPr>
          <w:i/>
          <w:iCs/>
          <w:color w:val="595959"/>
        </w:rPr>
        <w:t xml:space="preserve">To understand and, where risk requires, verify where a customer's money for a specific transaction (source of funds) and their overall wealth (source of wealth) comes from.</w:t>
      </w:r>
    </w:p>
    <w:p>
      <w:pPr>
        <w:pStyle w:val="Heading2"/>
        <w:spacing w:after="120" w:before="240"/>
      </w:pPr>
      <w:r>
        <w:t xml:space="preserve">5.1 When this applies</w:t>
      </w:r>
    </w:p>
    <w:p>
      <w:pPr>
        <w:spacing w:after="140" w:line="276"/>
      </w:pPr>
      <w:r>
        <w:t xml:space="preserve">Source-of-funds information is requested whenever Enhanced Due Diligence applies under Section 2.4 — for example, an unusually large wallet funding, a PEP relationship, or a screening alert that has not been cleared as a false positive.</w:t>
      </w:r>
    </w:p>
    <w:p>
      <w:pPr>
        <w:pStyle w:val="Heading2"/>
        <w:spacing w:after="120" w:before="240"/>
      </w:pPr>
      <w:r>
        <w:t xml:space="preserve">5.2 What is collected</w:t>
      </w:r>
    </w:p>
    <w:p>
      <w:pPr>
        <w:pStyle w:val="ListParagraph"/>
        <w:numPr>
          <w:ilvl w:val="0"/>
          <w:numId w:val="1"/>
        </w:numPr>
        <w:spacing w:after="80" w:line="264"/>
      </w:pPr>
      <w:r>
        <w:t xml:space="preserve">Source of funds: the immediate origin of the money for the specific transaction — salary, business income, sale of an asset, gift, loan, or other stated origin — with supporting evidence proportionate to the amount and risk (for example, a bank statement, payslip, or sale agreement).</w:t>
      </w:r>
    </w:p>
    <w:p>
      <w:pPr>
        <w:pStyle w:val="ListParagraph"/>
        <w:numPr>
          <w:ilvl w:val="0"/>
          <w:numId w:val="1"/>
        </w:numPr>
        <w:spacing w:after="80" w:line="264"/>
      </w:pPr>
      <w:r>
        <w:t xml:space="preserve">Source of wealth: the customer's overall financial profile and how their total wealth was accumulated, requested only where EDD applies, not for routine customers.</w:t>
      </w:r>
    </w:p>
    <w:p>
      <w:pPr>
        <w:pStyle w:val="Heading2"/>
        <w:spacing w:after="120" w:before="240"/>
      </w:pPr>
      <w:r>
        <w:t xml:space="preserve">5.3 Evaluation</w:t>
      </w:r>
    </w:p>
    <w:p>
      <w:pPr>
        <w:spacing w:after="140" w:line="276"/>
      </w:pPr>
      <w:r>
        <w:t xml:space="preserve">The Compliance Officer/MLRO reviews source-of-funds/wealth information for plausibility against the customer's stated occupation, transaction history, and the amount involved. Implausible or unverifiable explanations are a red flag requiring escalation under Section 4.3 and, pending resolution, restriction of the account under Section 6.</w:t>
      </w:r>
    </w:p>
    <w:p>
      <w:pPr>
        <w:pBdr>
          <w:left w:val="single" w:color="D8A400" w:sz="18"/>
        </w:pBdr>
        <w:shd w:fill="FFF6DA" w:val="clear"/>
        <w:spacing w:after="160" w:before="80"/>
        <w:ind w:left="200"/>
      </w:pPr>
      <w:r>
        <w:rPr>
          <w:b/>
          <w:bCs/>
          <w:color w:val="8A6400"/>
        </w:rPr>
        <w:t xml:space="preserve">Status: </w:t>
      </w:r>
      <w:r>
        <w:rPr>
          <w:color w:val="8A6400"/>
        </w:rPr>
        <w:t xml:space="preserve">A structured, documented source-of-funds intake process (for example, a standard form and evidence checklist inside an EDD case file) is not yet built as a product feature and is currently a manual, ad hoc process to be formalised.</w:t>
      </w:r>
    </w:p>
    <w:p>
      <w:pPr>
        <w:pStyle w:val="Heading1"/>
        <w:pageBreakBefore/>
        <w:spacing w:after="200" w:before="400"/>
      </w:pPr>
      <w:r>
        <w:t xml:space="preserve">6. Fraud Prevention and Account Restriction Policy</w:t>
      </w:r>
    </w:p>
    <w:p>
      <w:pPr>
        <w:spacing w:after="200"/>
      </w:pPr>
      <w:r>
        <w:rPr>
          <w:b/>
          <w:bCs/>
          <w:i/>
          <w:iCs/>
        </w:rPr>
        <w:t xml:space="preserve">Purpose: </w:t>
      </w:r>
      <w:r>
        <w:rPr>
          <w:i/>
          <w:iCs/>
          <w:color w:val="595959"/>
        </w:rPr>
        <w:t xml:space="preserve">To prevent, detect and respond to fraud against Kay's Pay and its customers, and to set out when and how an account may be restricted.</w:t>
      </w:r>
    </w:p>
    <w:p>
      <w:pPr>
        <w:pStyle w:val="Heading2"/>
        <w:spacing w:after="120" w:before="240"/>
      </w:pPr>
      <w:r>
        <w:t xml:space="preserve">6.1 Preventive controls in place today</w:t>
      </w:r>
    </w:p>
    <w:p>
      <w:pPr>
        <w:pBdr>
          <w:left w:val="single" w:color="1A5C3A" w:sz="18"/>
        </w:pBdr>
        <w:shd w:fill="EAF4EE" w:val="clear"/>
        <w:spacing w:after="160" w:before="80"/>
        <w:ind w:left="200"/>
      </w:pPr>
      <w:r>
        <w:rPr>
          <w:b/>
          <w:bCs/>
          <w:color w:val="1A5C3A"/>
        </w:rPr>
        <w:t xml:space="preserve">In place today: </w:t>
      </w:r>
      <w:r>
        <w:rPr>
          <w:color w:val="0F1A14"/>
        </w:rPr>
        <w:t xml:space="preserve">Every financial action requires a fresh PIN or biometric step-up authorisation immediately before it is performed — a valid login session alone is never sufficient to move money. Purchase and funding requests are rate-limited per user. Device sessions are individually tracked and can be revoked, including a “log out all other devices” control the customer can trigger themselves. Duplicate-purchase guards block an accidental repeat of the same data/TV plan to the same recipient within a short window. Passwords/PINs and provider secrets are never logged; validation failures log only which field failed, never the submitted value.</w:t>
      </w:r>
    </w:p>
    <w:p>
      <w:pPr>
        <w:pStyle w:val="Heading2"/>
        <w:spacing w:after="120" w:before="240"/>
      </w:pPr>
      <w:r>
        <w:t xml:space="preserve">6.2 Fraud monitoring</w:t>
      </w:r>
    </w:p>
    <w:p>
      <w:pPr>
        <w:spacing w:after="140" w:line="276"/>
      </w:pPr>
      <w:r>
        <w:t xml:space="preserve">Fraud signals are monitored through the same financial-integrity alerts described in Section 4.1, including a burst-account signal for unusual account-creation or transaction bursts. A fraud signal is a monitor-only trigger for human review; Kay's Pay does not freeze a customer's account automatically from a single automated signal without review by an authorised operator.</w:t>
      </w:r>
    </w:p>
    <w:p>
      <w:pPr>
        <w:pStyle w:val="Heading2"/>
        <w:spacing w:after="120" w:before="240"/>
      </w:pPr>
      <w:r>
        <w:t xml:space="preserve">6.3 Grounds for restriction</w:t>
      </w:r>
    </w:p>
    <w:p>
      <w:pPr>
        <w:spacing w:after="140" w:line="276"/>
      </w:pPr>
      <w:r>
        <w:t xml:space="preserve">Kay's Pay may restrict (pause outbound transactions from) an account where: a sanctions or credible PEP/adverse-media match is confirmed (Section 3); suspicious activity has been escalated and is under review (Section 4); fraud is suspected, including account takeover, payment-instrument fraud, or abuse of a promotional/plan restriction; or Kay's Pay is required to do so by a competent authority.</w:t>
      </w:r>
    </w:p>
    <w:p>
      <w:pPr>
        <w:pStyle w:val="Heading2"/>
        <w:spacing w:after="120" w:before="240"/>
      </w:pPr>
      <w:r>
        <w:t xml:space="preserve">6.4 Restriction procedure</w:t>
      </w:r>
    </w:p>
    <w:p>
      <w:pPr>
        <w:pStyle w:val="ListParagraph"/>
        <w:numPr>
          <w:ilvl w:val="0"/>
          <w:numId w:val="1"/>
        </w:numPr>
        <w:spacing w:after="80" w:line="264"/>
      </w:pPr>
      <w:r>
        <w:t xml:space="preserve">Restriction decisions for suspected fraud or AML concerns are made or ratified by the Compliance Officer/MLRO, not unilaterally by engineering or support staff.</w:t>
      </w:r>
    </w:p>
    <w:p>
      <w:pPr>
        <w:pStyle w:val="ListParagraph"/>
        <w:numPr>
          <w:ilvl w:val="0"/>
          <w:numId w:val="1"/>
        </w:numPr>
        <w:spacing w:after="80" w:line="264"/>
      </w:pPr>
      <w:r>
        <w:t xml:space="preserve">The customer's existing wallet balance is preserved; a restriction blocks further outbound transactions, it is not a confiscation.</w:t>
      </w:r>
    </w:p>
    <w:p>
      <w:pPr>
        <w:pStyle w:val="ListParagraph"/>
        <w:numPr>
          <w:ilvl w:val="0"/>
          <w:numId w:val="1"/>
        </w:numPr>
        <w:spacing w:after="80" w:line="264"/>
      </w:pPr>
      <w:r>
        <w:t xml:space="preserve">The customer is notified that their account has been restricted and given a channel to respond, except where notice would itself constitute tipping off under Section 4.4.</w:t>
      </w:r>
    </w:p>
    <w:p>
      <w:pPr>
        <w:pStyle w:val="ListParagraph"/>
        <w:numPr>
          <w:ilvl w:val="0"/>
          <w:numId w:val="1"/>
        </w:numPr>
        <w:spacing w:after="80" w:line="264"/>
      </w:pPr>
      <w:r>
        <w:t xml:space="preserve">A restriction is reviewed and lifted, or escalated further, within a documented timeframe once the underlying concern is resolved.</w:t>
      </w:r>
    </w:p>
    <w:p>
      <w:pPr>
        <w:pStyle w:val="Heading2"/>
        <w:spacing w:after="120" w:before="240"/>
      </w:pPr>
      <w:r>
        <w:t xml:space="preserve">6.5 Customer-reported fraud</w:t>
      </w:r>
    </w:p>
    <w:p>
      <w:pPr>
        <w:spacing w:after="140" w:line="276"/>
      </w:pPr>
      <w:r>
        <w:t xml:space="preserve">A customer who reports unauthorised activity on their account is directed to the Customer Complaints and Dispute Resolution Policy (Section 8) and, where warranted, their account is restricted pending investigation under this section.</w:t>
      </w:r>
    </w:p>
    <w:p>
      <w:pPr>
        <w:pStyle w:val="Heading1"/>
        <w:pageBreakBefore/>
        <w:spacing w:after="200" w:before="400"/>
      </w:pPr>
      <w:r>
        <w:t xml:space="preserve">7. Record Retention and Regulatory Cooperation Policy</w:t>
      </w:r>
    </w:p>
    <w:p>
      <w:pPr>
        <w:spacing w:after="200"/>
      </w:pPr>
      <w:r>
        <w:rPr>
          <w:b/>
          <w:bCs/>
          <w:i/>
          <w:iCs/>
        </w:rPr>
        <w:t xml:space="preserve">Purpose: </w:t>
      </w:r>
      <w:r>
        <w:rPr>
          <w:i/>
          <w:iCs/>
          <w:color w:val="595959"/>
        </w:rPr>
        <w:t xml:space="preserve">To keep the records Kay's Pay is required to keep, for as long as required, and to cooperate promptly and lawfully with regulators and law enforcement.</w:t>
      </w:r>
    </w:p>
    <w:p>
      <w:pPr>
        <w:pStyle w:val="Heading2"/>
        <w:spacing w:after="120" w:before="240"/>
      </w:pPr>
      <w:r>
        <w:t xml:space="preserve">7.1 What is retained today</w:t>
      </w:r>
    </w:p>
    <w:p>
      <w:pPr>
        <w:pBdr>
          <w:left w:val="single" w:color="1A5C3A" w:sz="18"/>
        </w:pBdr>
        <w:shd w:fill="EAF4EE" w:val="clear"/>
        <w:spacing w:after="160" w:before="80"/>
        <w:ind w:left="200"/>
      </w:pPr>
      <w:r>
        <w:rPr>
          <w:b/>
          <w:bCs/>
          <w:color w:val="1A5C3A"/>
        </w:rPr>
        <w:t xml:space="preserve">In place today: </w:t>
      </w:r>
      <w:r>
        <w:rPr>
          <w:color w:val="0F1A14"/>
        </w:rPr>
        <w:t xml:space="preserve">Every transaction is written to an immutable ledger table with amount, status, provider reference, and timestamp; wallet-funding events are recorded with their originating reference and are protected against duplicate processing. Financial-integrity monitoring snapshots are retained for at least 90 days, with daily summaries kept separately for longer-term trend review, per Kay's Pay's incident-response runbook.</w:t>
      </w:r>
    </w:p>
    <w:p>
      <w:pPr>
        <w:pStyle w:val="Heading2"/>
        <w:spacing w:after="120" w:before="240"/>
      </w:pPr>
      <w:r>
        <w:t xml:space="preserve">7.2 Retention periods</w:t>
      </w:r>
    </w:p>
    <w:p>
      <w:pPr>
        <w:spacing w:after="140" w:line="276"/>
      </w:pPr>
      <w:r>
        <w:t xml:space="preserve">Kay's Pay's policy commitment, pending confirmation with counsel of the exact statutory minimum under Nigerian AML/CFT and data-protection law, is to retain: customer identification and due-diligence records for at least five years after the end of the customer relationship; transaction records for at least five years after the transaction; and suspicious activity reports and supporting materials for at least five years, or longer if a competent authority directs.</w:t>
      </w:r>
    </w:p>
    <w:p>
      <w:pPr>
        <w:pBdr>
          <w:left w:val="single" w:color="D8A400" w:sz="18"/>
        </w:pBdr>
        <w:shd w:fill="FFF6DA" w:val="clear"/>
        <w:spacing w:after="160" w:before="80"/>
        <w:ind w:left="200"/>
      </w:pPr>
      <w:r>
        <w:rPr>
          <w:b/>
          <w:bCs/>
          <w:color w:val="8A6400"/>
        </w:rPr>
        <w:t xml:space="preserve">Status: </w:t>
      </w:r>
      <w:r>
        <w:rPr>
          <w:color w:val="8A6400"/>
        </w:rPr>
        <w:t xml:space="preserve">Automated enforcement of these retention periods (for example, scheduled archival rather than indefinite retention in the live database, or a deletion workflow tied to the Nigeria Data Protection Act's data-minimisation principle) is not yet built and should be implemented before this section is described as fully operational.</w:t>
      </w:r>
    </w:p>
    <w:p>
      <w:pPr>
        <w:pStyle w:val="Heading2"/>
        <w:spacing w:after="120" w:before="240"/>
      </w:pPr>
      <w:r>
        <w:t xml:space="preserve">7.3 Regulatory and law-enforcement requests</w:t>
      </w:r>
    </w:p>
    <w:p>
      <w:pPr>
        <w:spacing w:after="140" w:line="276"/>
      </w:pPr>
      <w:r>
        <w:t xml:space="preserve">All requests from the CBN, NFIU, EFCC, Nigeria Data Protection Commission (NDPC), or another competent authority are directed to the Compliance Officer/MLRO, who verifies the requester's authority, responds within any statutory deadline, and keeps a record of the request and Kay's Pay's response. Only the Compliance Officer/MLRO or someone they designate in writing may release customer records to a third party under this section; engineering and support staff must not respond to such requests directly.</w:t>
      </w:r>
    </w:p>
    <w:p>
      <w:pPr>
        <w:pStyle w:val="Heading2"/>
        <w:spacing w:after="120" w:before="240"/>
      </w:pPr>
      <w:r>
        <w:t xml:space="preserve">7.4 Database recovery integrity</w:t>
      </w:r>
    </w:p>
    <w:p>
      <w:pPr>
        <w:spacing w:after="140" w:line="276"/>
      </w:pPr>
      <w:r>
        <w:t xml:space="preserve">Kay's Pay's incident-response runbook requires a quarterly restore drill into an isolated non-production environment, verification of wallet-ledger integrity after any restore, and a documented recovery timestamp and data-loss window for any production recovery — all before services are reopened to customers.</w:t>
      </w:r>
    </w:p>
    <w:p>
      <w:pPr>
        <w:pStyle w:val="Heading1"/>
        <w:pageBreakBefore/>
        <w:spacing w:after="200" w:before="400"/>
      </w:pPr>
      <w:r>
        <w:t xml:space="preserve">8. Customer Complaints and Dispute Resolution Policy</w:t>
      </w:r>
    </w:p>
    <w:p>
      <w:pPr>
        <w:spacing w:after="200"/>
      </w:pPr>
      <w:r>
        <w:rPr>
          <w:b/>
          <w:bCs/>
          <w:i/>
          <w:iCs/>
        </w:rPr>
        <w:t xml:space="preserve">Purpose: </w:t>
      </w:r>
      <w:r>
        <w:rPr>
          <w:i/>
          <w:iCs/>
          <w:color w:val="595959"/>
        </w:rPr>
        <w:t xml:space="preserve">To give customers a clear, fair and timely way to raise a complaint or dispute a transaction, and to resolve it consistently.</w:t>
      </w:r>
    </w:p>
    <w:p>
      <w:pPr>
        <w:pStyle w:val="Heading2"/>
        <w:spacing w:after="120" w:before="240"/>
      </w:pPr>
      <w:r>
        <w:t xml:space="preserve">8.1 How a customer complains</w:t>
      </w:r>
    </w:p>
    <w:p>
      <w:pPr>
        <w:spacing w:after="140" w:line="276"/>
      </w:pPr>
      <w:r>
        <w:t xml:space="preserve">A customer may raise a complaint or dispute by emailing support@kayspay.com.ng or by using the in-app support/notification channel. Every complaint is logged with a reference the customer can quote for follow-up.</w:t>
      </w:r>
    </w:p>
    <w:p>
      <w:pPr>
        <w:pStyle w:val="Heading2"/>
        <w:spacing w:after="120" w:before="240"/>
      </w:pPr>
      <w:r>
        <w:t xml:space="preserve">8.2 Acknowledgement and resolution timeframes</w:t>
      </w:r>
    </w:p>
    <w:p>
      <w:pPr>
        <w:pStyle w:val="ListParagraph"/>
        <w:numPr>
          <w:ilvl w:val="0"/>
          <w:numId w:val="1"/>
        </w:numPr>
        <w:spacing w:after="80" w:line="264"/>
      </w:pPr>
      <w:r>
        <w:t xml:space="preserve">Acknowledgement: within 24 hours of receipt.</w:t>
      </w:r>
    </w:p>
    <w:p>
      <w:pPr>
        <w:pStyle w:val="ListParagraph"/>
        <w:numPr>
          <w:ilvl w:val="0"/>
          <w:numId w:val="1"/>
        </w:numPr>
        <w:spacing w:after="80" w:line="264"/>
      </w:pPr>
      <w:r>
        <w:t xml:space="preserve">Target resolution for a straightforward transaction dispute (for example, a purchase that failed but was not refunded, or a funding transfer that did not reflect): within 5 business days.</w:t>
      </w:r>
    </w:p>
    <w:p>
      <w:pPr>
        <w:pStyle w:val="ListParagraph"/>
        <w:numPr>
          <w:ilvl w:val="0"/>
          <w:numId w:val="1"/>
        </w:numPr>
        <w:spacing w:after="80" w:line="264"/>
      </w:pPr>
      <w:r>
        <w:t xml:space="preserve">Target resolution for a complaint requiring provider reconciliation or an AML/fraud review: within 15 business days, with interim updates to the customer.</w:t>
      </w:r>
    </w:p>
    <w:p>
      <w:pPr>
        <w:pStyle w:val="Heading2"/>
        <w:spacing w:after="120" w:before="240"/>
      </w:pPr>
      <w:r>
        <w:t xml:space="preserve">8.3 Transaction dispute handling</w:t>
      </w:r>
    </w:p>
    <w:p>
      <w:pPr>
        <w:spacing w:after="140" w:line="276"/>
      </w:pPr>
      <w:r>
        <w:t xml:space="preserve">A disputed transaction is investigated against Kay's Pay's own ledger and the relevant provider's authoritative order/settlement status before any adjustment is made. Consistent with Kay's Pay's incident-response principles, no manual balance edit is made outside the existing idempotent reconciliation and refund functions; every correction is itself a logged, reconciled transaction.</w:t>
      </w:r>
    </w:p>
    <w:p>
      <w:pPr>
        <w:pStyle w:val="Heading2"/>
        <w:spacing w:after="120" w:before="240"/>
      </w:pPr>
      <w:r>
        <w:t xml:space="preserve">8.4 Escalation</w:t>
      </w:r>
    </w:p>
    <w:p>
      <w:pPr>
        <w:spacing w:after="140" w:line="276"/>
      </w:pPr>
      <w:r>
        <w:t xml:space="preserve">A complaint the customer considers unresolved is escalated to the Compliance Officer/MLRO for final internal review. Kay's Pay will inform the customer of any applicable external escalation route (for example, the CBN's consumer protection channel) once Kay's Limited's regulatory category is confirmed with counsel.</w:t>
      </w:r>
    </w:p>
    <w:p>
      <w:pPr>
        <w:pStyle w:val="Heading2"/>
        <w:spacing w:after="120" w:before="240"/>
      </w:pPr>
      <w:r>
        <w:t xml:space="preserve">8.5 Root-cause tracking</w:t>
      </w:r>
    </w:p>
    <w:p>
      <w:pPr>
        <w:spacing w:after="140" w:line="276"/>
      </w:pPr>
      <w:r>
        <w:t xml:space="preserve">Complaints are reviewed periodically for patterns that indicate a systemic issue (a specific provider, a specific plan, or a specific feature) rather than an isolated incident, and feed back into the Fraud Prevention (Section 6) and Transaction Monitoring (Section 4) policies where relevant.</w:t>
      </w:r>
    </w:p>
    <w:p>
      <w:pPr>
        <w:pStyle w:val="Heading1"/>
        <w:pageBreakBefore/>
        <w:spacing w:after="200" w:before="400"/>
      </w:pPr>
      <w:r>
        <w:t xml:space="preserve">9. Outsourcing and Vendor Risk Management Policy</w:t>
      </w:r>
    </w:p>
    <w:p>
      <w:pPr>
        <w:spacing w:after="200"/>
      </w:pPr>
      <w:r>
        <w:rPr>
          <w:b/>
          <w:bCs/>
          <w:i/>
          <w:iCs/>
        </w:rPr>
        <w:t xml:space="preserve">Purpose: </w:t>
      </w:r>
      <w:r>
        <w:rPr>
          <w:i/>
          <w:iCs/>
          <w:color w:val="595959"/>
        </w:rPr>
        <w:t xml:space="preserve">To manage the risk that arises from relying on third-party providers for identity verification, payments, hosting, and other critical services.</w:t>
      </w:r>
    </w:p>
    <w:p>
      <w:pPr>
        <w:pStyle w:val="Heading2"/>
        <w:spacing w:after="120" w:before="240"/>
      </w:pPr>
      <w:r>
        <w:t xml:space="preserve">9.1 Current critical vendors</w:t>
      </w:r>
    </w:p>
    <w:p>
      <w:pPr>
        <w:spacing w:after="140" w:line="276"/>
      </w:pPr>
      <w:r>
        <w:t xml:space="preserve">Kay's Pay currently relies on third-party providers for: identity verification (Prembly, and a secondary identity-verification provider used as a fallback); wallet funding and dedicated virtual accounts (a licensed payments partner); airtime, data, electricity, cable TV and examination-PIN fulfilment (licensed Nigerian VTU/reseller providers); application hosting and database (Supabase, a managed Postgres provider); and push notification/email delivery infrastructure.</w:t>
      </w:r>
    </w:p>
    <w:p>
      <w:pPr>
        <w:pStyle w:val="Heading2"/>
        <w:spacing w:after="120" w:before="240"/>
      </w:pPr>
      <w:r>
        <w:t xml:space="preserve">9.2 Due diligence before onboarding a vendor</w:t>
      </w:r>
    </w:p>
    <w:p>
      <w:pPr>
        <w:pStyle w:val="ListParagraph"/>
        <w:numPr>
          <w:ilvl w:val="0"/>
          <w:numId w:val="1"/>
        </w:numPr>
        <w:spacing w:after="80" w:line="264"/>
      </w:pPr>
      <w:r>
        <w:t xml:space="preserve">Confirm the vendor's relevant licence or registration status where one is required for the service provided (for example, a payments or telecoms licence).</w:t>
      </w:r>
    </w:p>
    <w:p>
      <w:pPr>
        <w:pStyle w:val="ListParagraph"/>
        <w:numPr>
          <w:ilvl w:val="0"/>
          <w:numId w:val="1"/>
        </w:numPr>
        <w:spacing w:after="80" w:line="264"/>
      </w:pPr>
      <w:r>
        <w:t xml:space="preserve">Assess the vendor's own security posture for any vendor that will handle customer identity data or funds.</w:t>
      </w:r>
    </w:p>
    <w:p>
      <w:pPr>
        <w:pStyle w:val="ListParagraph"/>
        <w:numPr>
          <w:ilvl w:val="0"/>
          <w:numId w:val="1"/>
        </w:numPr>
        <w:spacing w:after="80" w:line="264"/>
      </w:pPr>
      <w:r>
        <w:t xml:space="preserve">Confirm the vendor's incident-notification commitment, so Kay's Pay can meet its own regulatory notification deadlines if the vendor has a breach.</w:t>
      </w:r>
    </w:p>
    <w:p>
      <w:pPr>
        <w:pBdr>
          <w:left w:val="single" w:color="D8A400" w:sz="18"/>
        </w:pBdr>
        <w:shd w:fill="FFF6DA" w:val="clear"/>
        <w:spacing w:after="160" w:before="80"/>
        <w:ind w:left="200"/>
      </w:pPr>
      <w:r>
        <w:rPr>
          <w:b/>
          <w:bCs/>
          <w:color w:val="8A6400"/>
        </w:rPr>
        <w:t xml:space="preserve">Status: </w:t>
      </w:r>
      <w:r>
        <w:rPr>
          <w:color w:val="8A6400"/>
        </w:rPr>
        <w:t xml:space="preserve">A formal, documented vendor risk-assessment checklist and a vendor register (recording each vendor's role, data access, contract terms and last review date) do not yet exist as standalone artifacts and should be created before this section is described as fully operational.</w:t>
      </w:r>
    </w:p>
    <w:p>
      <w:pPr>
        <w:pStyle w:val="Heading2"/>
        <w:spacing w:after="120" w:before="240"/>
      </w:pPr>
      <w:r>
        <w:t xml:space="preserve">9.3 Ongoing oversight</w:t>
      </w:r>
    </w:p>
    <w:p>
      <w:pPr>
        <w:spacing w:after="140" w:line="276"/>
      </w:pPr>
      <w:r>
        <w:t xml:space="preserve">Kay's Pay's architecture is deliberately provider-agnostic where possible: multiple providers exist in the codebase for airtime, data, and identity verification specifically so that a single vendor's outage, price change, or reliability problem does not stop customer service, and so a vendor can be switched with a routing change rather than a rebuild. A vendor's service is monitored through the same financial-integrity alerting described in Section 4.1 (elevated failure rate by provider), and a vendor can be paused instantly via the service-controls kill-switch without affecting unrelated services.</w:t>
      </w:r>
    </w:p>
    <w:p>
      <w:pPr>
        <w:pStyle w:val="Heading2"/>
        <w:spacing w:after="120" w:before="240"/>
      </w:pPr>
      <w:r>
        <w:t xml:space="preserve">9.4 Sub-outsourcing</w:t>
      </w:r>
    </w:p>
    <w:p>
      <w:pPr>
        <w:spacing w:after="140" w:line="276"/>
      </w:pPr>
      <w:r>
        <w:t xml:space="preserve">Kay's Pay does not permit a vendor to further sub-outsource a function that involves customer funds or identity data without Kay's Pay's prior knowledge and, where material, written acknowledgement.</w:t>
      </w:r>
    </w:p>
    <w:p>
      <w:pPr>
        <w:pStyle w:val="Heading1"/>
        <w:pageBreakBefore/>
        <w:spacing w:after="200" w:before="400"/>
      </w:pPr>
      <w:r>
        <w:t xml:space="preserve">10. Data Protection, Information Security and Incident Response Policy</w:t>
      </w:r>
    </w:p>
    <w:p>
      <w:pPr>
        <w:spacing w:after="200"/>
      </w:pPr>
      <w:r>
        <w:rPr>
          <w:b/>
          <w:bCs/>
          <w:i/>
          <w:iCs/>
        </w:rPr>
        <w:t xml:space="preserve">Purpose: </w:t>
      </w:r>
      <w:r>
        <w:rPr>
          <w:i/>
          <w:iCs/>
          <w:color w:val="595959"/>
        </w:rPr>
        <w:t xml:space="preserve">To protect customer personal data and funds from unauthorised access, loss or misuse, in line with the Nigeria Data Protection Act 2023 (NDPA), and to respond effectively if a security incident occurs.</w:t>
      </w:r>
    </w:p>
    <w:p>
      <w:pPr>
        <w:pStyle w:val="Heading2"/>
        <w:spacing w:after="120" w:before="240"/>
      </w:pPr>
      <w:r>
        <w:t xml:space="preserve">10.1 Regulatory basis</w:t>
      </w:r>
    </w:p>
    <w:p>
      <w:pPr>
        <w:spacing w:after="140" w:line="276"/>
      </w:pPr>
      <w:r>
        <w:t xml:space="preserve">This policy is built around the Nigeria Data Protection Act 2023 and the regulatory guidance of the Nigeria Data Protection Commission (NDPC). Under the NDPA, Kay's Pay must have a lawful basis and, generally, informed and specific consent for processing personal data, must implement security measures proportionate to the sensitivity of the data it holds, and must notify the NDPC within 72 hours of becoming aware of a breach likely to pose a high risk to individuals' rights.</w:t>
      </w:r>
    </w:p>
    <w:p>
      <w:pPr>
        <w:pStyle w:val="Heading2"/>
        <w:spacing w:after="120" w:before="240"/>
      </w:pPr>
      <w:r>
        <w:t xml:space="preserve">10.2 Technical and organisational measures in place today</w:t>
      </w:r>
    </w:p>
    <w:p>
      <w:pPr>
        <w:pBdr>
          <w:left w:val="single" w:color="1A5C3A" w:sz="18"/>
        </w:pBdr>
        <w:shd w:fill="EAF4EE" w:val="clear"/>
        <w:spacing w:after="160" w:before="80"/>
        <w:ind w:left="200"/>
      </w:pPr>
      <w:r>
        <w:rPr>
          <w:b/>
          <w:bCs/>
          <w:color w:val="1A5C3A"/>
        </w:rPr>
        <w:t xml:space="preserve">In place today: </w:t>
      </w:r>
      <w:r>
        <w:rPr>
          <w:color w:val="0F1A14"/>
        </w:rPr>
        <w:t xml:space="preserve">Row Level Security is enabled on customer-data tables so a user's database session can only ever read their own records, independent of application-layer bugs. All financial and identity-sensitive database writes go through narrowly-scoped, security-definer database functions rather than broad table grants — the same least-privilege pattern used throughout the application, including for the newly added notification-deletion capability. BVN/NIN values and provider secrets are never written to application logs; validation failures log only the field name that failed, never the submitted value. Provider credentials and webhook signing secrets are stored as encrypted platform secrets, never in source code or the mobile app bundle. All traffic between the app and backend runs over TLS.</w:t>
      </w:r>
    </w:p>
    <w:p>
      <w:pPr>
        <w:pStyle w:val="Heading2"/>
        <w:spacing w:after="120" w:before="240"/>
      </w:pPr>
      <w:r>
        <w:t xml:space="preserve">10.3 Data subject rights</w:t>
      </w:r>
    </w:p>
    <w:p>
      <w:pPr>
        <w:spacing w:after="140" w:line="276"/>
      </w:pPr>
      <w:r>
        <w:t xml:space="preserve">Kay's Pay will honour a customer's NDPA rights — including access to, correction of, and deletion of their personal data, subject to Kay's Pay's own legal retention obligations under Section 7 — through the support channel described in Section 8.</w:t>
      </w:r>
    </w:p>
    <w:p>
      <w:pPr>
        <w:pBdr>
          <w:left w:val="single" w:color="D8A400" w:sz="18"/>
        </w:pBdr>
        <w:shd w:fill="FFF6DA" w:val="clear"/>
        <w:spacing w:after="160" w:before="80"/>
        <w:ind w:left="200"/>
      </w:pPr>
      <w:r>
        <w:rPr>
          <w:b/>
          <w:bCs/>
          <w:color w:val="8A6400"/>
        </w:rPr>
        <w:t xml:space="preserve">Status: </w:t>
      </w:r>
      <w:r>
        <w:rPr>
          <w:color w:val="8A6400"/>
        </w:rPr>
        <w:t xml:space="preserve">A named Data Protection Officer (DPO) has not yet been formally appointed and registered as required for a data controller of major importance under NDPA guidance; a documented data-processing register (what personal data is held, why, and for how long) and formal data-processing agreements with vendors handling personal data (Section 9) are not yet complete. These are required before this section is described as fully NDPA-compliant.</w:t>
      </w:r>
    </w:p>
    <w:p>
      <w:pPr>
        <w:pStyle w:val="Heading2"/>
        <w:spacing w:after="120" w:before="240"/>
      </w:pPr>
      <w:r>
        <w:t xml:space="preserve">10.4 Security incident response</w:t>
      </w:r>
    </w:p>
    <w:p>
      <w:pPr>
        <w:spacing w:after="140" w:line="276"/>
      </w:pPr>
      <w:r>
        <w:t xml:space="preserve">Kay's Pay's incident-response runbook requires that, on any suspected incident: the relevant automated alert and monitoring snapshot are confirmed first; no manual wallet or transaction edits are made outside existing reconciliation functions; affected transaction IDs, provider references, timestamps and logs are preserved, while PINs, tokens, NIN/BVN values and full provider payloads are never copied into tickets or chat; the affected service alone is paused via the service-controls kill-switch if customers could lose money, leaving unrelated services running; and closure requires a documented record of impact, root cause, detection time, containment, recovery evidence and preventive action.</w:t>
      </w:r>
    </w:p>
    <w:p>
      <w:pPr>
        <w:pStyle w:val="Heading2"/>
        <w:spacing w:after="120" w:before="240"/>
      </w:pPr>
      <w:r>
        <w:t xml:space="preserve">10.5 Breach notification</w:t>
      </w:r>
    </w:p>
    <w:p>
      <w:pPr>
        <w:spacing w:after="140" w:line="276"/>
      </w:pPr>
      <w:r>
        <w:t xml:space="preserve">Where an incident involves personal data and meets the NDPA's high-risk threshold, the Compliance Officer/MLRO is responsible for NDPC notification within 72 hours of Kay's Pay becoming aware, and for notifying affected customers where the law requires it.</w:t>
      </w:r>
    </w:p>
    <w:p>
      <w:pPr>
        <w:pStyle w:val="Heading1"/>
        <w:pageBreakBefore/>
        <w:spacing w:after="200" w:before="400"/>
      </w:pPr>
      <w:r>
        <w:t xml:space="preserve">11. Business Continuity and Disaster Recovery Policy</w:t>
      </w:r>
    </w:p>
    <w:p>
      <w:pPr>
        <w:spacing w:after="200"/>
      </w:pPr>
      <w:r>
        <w:rPr>
          <w:b/>
          <w:bCs/>
          <w:i/>
          <w:iCs/>
        </w:rPr>
        <w:t xml:space="preserve">Purpose: </w:t>
      </w:r>
      <w:r>
        <w:rPr>
          <w:i/>
          <w:iCs/>
          <w:color w:val="595959"/>
        </w:rPr>
        <w:t xml:space="preserve">To keep Kay's Pay's core services available, and customer funds and records intact, through an operational disruption.</w:t>
      </w:r>
    </w:p>
    <w:p>
      <w:pPr>
        <w:pStyle w:val="Heading2"/>
        <w:spacing w:after="120" w:before="240"/>
      </w:pPr>
      <w:r>
        <w:t xml:space="preserve">11.1 Infrastructure resilience in place today</w:t>
      </w:r>
    </w:p>
    <w:p>
      <w:pPr>
        <w:pBdr>
          <w:left w:val="single" w:color="1A5C3A" w:sz="18"/>
        </w:pBdr>
        <w:shd w:fill="EAF4EE" w:val="clear"/>
        <w:spacing w:after="160" w:before="80"/>
        <w:ind w:left="200"/>
      </w:pPr>
      <w:r>
        <w:rPr>
          <w:b/>
          <w:bCs/>
          <w:color w:val="1A5C3A"/>
        </w:rPr>
        <w:t xml:space="preserve">In place today: </w:t>
      </w:r>
      <w:r>
        <w:rPr>
          <w:color w:val="0F1A14"/>
        </w:rPr>
        <w:t xml:space="preserve">Kay's Pay's database runs on a managed Postgres platform (Supabase) with backup/point-in-time-recovery entitlement. External provider calls have hard timeouts so a slow upstream cannot hold the system indefinitely, and every financial request is idempotency-keyed so a retried request can never double-debit a wallet or double-deliver a service. A per-service kill-switch lets an operator pause one affected service during an incident while every other service continues operating normally for customers.</w:t>
      </w:r>
    </w:p>
    <w:p>
      <w:pPr>
        <w:pStyle w:val="Heading2"/>
        <w:spacing w:after="120" w:before="240"/>
      </w:pPr>
      <w:r>
        <w:t xml:space="preserve">11.2 Recovery procedure</w:t>
      </w:r>
    </w:p>
    <w:p>
      <w:pPr>
        <w:spacing w:after="140" w:line="276"/>
      </w:pPr>
      <w:r>
        <w:t xml:space="preserve">Kay's Pay's documented recovery procedure requires: confirming the project's current backup/PITR retention before an incident occurs; running a restore drill into an isolated non-production environment at least quarterly; validating row counts, wallet invariants, migration history, access-control policies and a sample of reconciled transactions after any restore; and, for an actual production recovery, recording the selected recovery point and expected data-loss window, stopping writes, restoring, running integrity checks, redeploying matching backend functions, and reopening customer-facing services gradually rather than all at once.</w:t>
      </w:r>
    </w:p>
    <w:p>
      <w:pPr>
        <w:pStyle w:val="Heading2"/>
        <w:spacing w:after="120" w:before="240"/>
      </w:pPr>
      <w:r>
        <w:t xml:space="preserve">11.3 Capacity and load</w:t>
      </w:r>
    </w:p>
    <w:p>
      <w:pPr>
        <w:spacing w:after="140" w:line="276"/>
      </w:pPr>
      <w:r>
        <w:t xml:space="preserve">Kay's Pay's engineering documentation is explicit that the application's architecture is designed to be safe for a growing registered/active user base, but that peak simultaneous-transaction capacity must be proven through staged load testing against a production-equivalent environment — ramping gradually, stopping immediately on any wallet-integrity alert, and measuring latency, database load, and provider rate limits — before any specific concurrent-user capacity is represented to a partner or regulator.</w:t>
      </w:r>
    </w:p>
    <w:p>
      <w:pPr>
        <w:pStyle w:val="Heading2"/>
        <w:spacing w:after="120" w:before="240"/>
      </w:pPr>
      <w:r>
        <w:t xml:space="preserve">11.4 Business continuity roles</w:t>
      </w:r>
    </w:p>
    <w:p>
      <w:pPr>
        <w:pBdr>
          <w:left w:val="single" w:color="D8A400" w:sz="18"/>
        </w:pBdr>
        <w:shd w:fill="FFF6DA" w:val="clear"/>
        <w:spacing w:after="160" w:before="80"/>
        <w:ind w:left="200"/>
      </w:pPr>
      <w:r>
        <w:rPr>
          <w:b/>
          <w:bCs/>
          <w:color w:val="8A6400"/>
        </w:rPr>
        <w:t xml:space="preserve">Status: </w:t>
      </w:r>
      <w:r>
        <w:rPr>
          <w:color w:val="8A6400"/>
        </w:rPr>
        <w:t xml:space="preserve">A formal business continuity plan naming specific personnel, recovery time objectives (RTO) and recovery point objectives (RPO) per critical function, and an out-of-band communication plan for staff and customers during a prolonged outage, is not yet documented as a standalone artifact separate from the technical incident-response runbook, and should be completed as Kay's Limited's headcount grows beyond its current founder-led stage.</w:t>
      </w:r>
    </w:p>
    <w:p>
      <w:pPr>
        <w:pStyle w:val="Heading2"/>
        <w:spacing w:after="120" w:before="240"/>
      </w:pPr>
      <w:r>
        <w:t xml:space="preserve">11.5 Review</w:t>
      </w:r>
    </w:p>
    <w:p>
      <w:pPr>
        <w:spacing w:after="140" w:line="276"/>
      </w:pPr>
      <w:r>
        <w:t xml:space="preserve">This policy, and the underlying technical runbooks it summarises, are reviewed at least annually and after any incident that tests them in practice.</w:t>
      </w:r>
    </w:p>
    <w:p>
      <w:pPr>
        <w:pStyle w:val="Heading1"/>
        <w:pageBreakBefore/>
        <w:spacing w:after="200" w:before="400"/>
      </w:pPr>
      <w:r>
        <w:t xml:space="preserve">12. Anti-Bribery and Corruption (ABC) Policy</w:t>
      </w:r>
    </w:p>
    <w:p>
      <w:pPr>
        <w:spacing w:after="200"/>
      </w:pPr>
      <w:r>
        <w:rPr>
          <w:b/>
          <w:bCs/>
          <w:i/>
          <w:iCs/>
        </w:rPr>
        <w:t xml:space="preserve">Purpose: </w:t>
      </w:r>
      <w:r>
        <w:rPr>
          <w:i/>
          <w:iCs/>
          <w:color w:val="595959"/>
        </w:rPr>
        <w:t xml:space="preserve">To prevent Kay's Pay, its staff, contractors and anyone acting on its behalf from offering, giving, soliciting or accepting a bribe, and to meet Kay's Limited's obligations under Nigerian anti-corruption law.</w:t>
      </w:r>
    </w:p>
    <w:p>
      <w:pPr>
        <w:pStyle w:val="Heading2"/>
        <w:spacing w:after="120" w:before="240"/>
      </w:pPr>
      <w:r>
        <w:t xml:space="preserve">12.1 Regulatory basis</w:t>
      </w:r>
    </w:p>
    <w:p>
      <w:pPr>
        <w:spacing w:after="140" w:line="276"/>
      </w:pPr>
      <w:r>
        <w:t xml:space="preserve">This policy is built around the Corrupt Practices and Other Related Offences Act 2000 and the Economic and Financial Crimes Commission (Establishment) Act 2004, which criminalise bribery and corrupt practices in Nigeria. Kay's Limited will confirm its precise obligations with legal counsel alongside the AML/CFT/CPF programme in Section 1.</w:t>
      </w:r>
    </w:p>
    <w:p>
      <w:pPr>
        <w:pStyle w:val="Heading2"/>
        <w:spacing w:after="120" w:before="240"/>
      </w:pPr>
      <w:r>
        <w:t xml:space="preserve">12.2 Prohibited conduct</w:t>
      </w:r>
    </w:p>
    <w:p>
      <w:pPr>
        <w:spacing w:after="140" w:line="276"/>
      </w:pPr>
      <w:r>
        <w:t xml:space="preserve">No employee, contractor, or anyone acting on Kay's Limited's behalf may offer, promise, give, request, agree to receive, or accept a bribe — directly or through a third party — to or from any person, including a government official, regulator, vendor, customer, or business partner, in order to obtain or retain business or a business advantage. This applies regardless of whether the payment is described as a bribe, a gift, a facilitation payment, or anything else.</w:t>
      </w:r>
    </w:p>
    <w:p>
      <w:pPr>
        <w:pStyle w:val="Heading2"/>
        <w:spacing w:after="120" w:before="240"/>
      </w:pPr>
      <w:r>
        <w:t xml:space="preserve">12.3 Facilitation payments and gifts</w:t>
      </w:r>
    </w:p>
    <w:p>
      <w:pPr>
        <w:spacing w:after="140" w:line="276"/>
      </w:pPr>
      <w:r>
        <w:t xml:space="preserve">Facilitation payments (small payments to speed up a routine government action a person is already entitled to) are prohibited without exception. A gift or hospitality may only be given or accepted where it is modest, infrequent, not made or received in exchange for a business advantage, and would not embarrass Kay's Limited if made public. Any gift or hospitality above a nominal value must be disclosed to and approved by the Designated Officer (Section 12.4) before it is given or accepted.</w:t>
      </w:r>
    </w:p>
    <w:p>
      <w:pPr>
        <w:pStyle w:val="Heading2"/>
        <w:spacing w:after="120" w:before="240"/>
      </w:pPr>
      <w:r>
        <w:t xml:space="preserve">12.4 Designated Officer</w:t>
      </w:r>
    </w:p>
    <w:p>
      <w:pPr>
        <w:spacing w:after="140" w:line="276"/>
      </w:pPr>
      <w:r>
        <w:t xml:space="preserve">Ifekwe Kalu Ifekwe, Chief Executive Officer, is designated interim ABC Officer for Kay's Limited from the effective date of this section, alongside his existing interim Compliance Officer/MLRO role (Section 1.4). The ABC Officer is responsible for this policy's implementation, for reviewing disclosed gifts and hospitality, and for this policy's annual review.</w:t>
      </w:r>
    </w:p>
    <w:p>
      <w:pPr>
        <w:pBdr>
          <w:left w:val="single" w:color="D8A400" w:sz="18"/>
        </w:pBdr>
        <w:shd w:fill="FFF6DA" w:val="clear"/>
        <w:spacing w:after="160" w:before="80"/>
        <w:ind w:left="200"/>
      </w:pPr>
      <w:r>
        <w:rPr>
          <w:b/>
          <w:bCs/>
          <w:color w:val="8A6400"/>
        </w:rPr>
        <w:t xml:space="preserve">Status: </w:t>
      </w:r>
      <w:r>
        <w:rPr>
          <w:color w:val="8A6400"/>
        </w:rPr>
        <w:t xml:space="preserve">A dedicated, sufficiently independent ABC Officer separate from the CEO, and staff specifically trained and experienced in anti-bribery compliance, are not yet in place. This is a planned control as Kay's Limited's headcount grows, consistent with the same interim arrangement already disclosed for the MLRO role in Section 1.4.</w:t>
      </w:r>
    </w:p>
    <w:p>
      <w:pPr>
        <w:pStyle w:val="Heading2"/>
        <w:spacing w:after="120" w:before="240"/>
      </w:pPr>
      <w:r>
        <w:t xml:space="preserve">12.5 Reporting a concern</w:t>
      </w:r>
    </w:p>
    <w:p>
      <w:pPr>
        <w:spacing w:after="140" w:line="276"/>
      </w:pPr>
      <w:r>
        <w:t xml:space="preserve">Any employee, contractor, or third party who suspects a breach of this policy must report it to the ABC Officer, or through the same channel used for AML/CFT concerns (Section 4.3). No one who reports a genuine concern in good faith will be penalised for doing so, even if the concern turns out to be mistaken.</w:t>
      </w:r>
    </w:p>
    <w:p>
      <w:pPr>
        <w:pStyle w:val="Heading2"/>
        <w:spacing w:after="120" w:before="240"/>
      </w:pPr>
      <w:r>
        <w:t xml:space="preserve">12.6 Training</w:t>
      </w:r>
    </w:p>
    <w:p>
      <w:pPr>
        <w:pBdr>
          <w:left w:val="single" w:color="D8A400" w:sz="18"/>
        </w:pBdr>
        <w:shd w:fill="FFF6DA" w:val="clear"/>
        <w:spacing w:after="160" w:before="80"/>
        <w:ind w:left="200"/>
      </w:pPr>
      <w:r>
        <w:rPr>
          <w:b/>
          <w:bCs/>
          <w:color w:val="8A6400"/>
        </w:rPr>
        <w:t xml:space="preserve">Status: </w:t>
      </w:r>
      <w:r>
        <w:rPr>
          <w:color w:val="8A6400"/>
        </w:rPr>
        <w:t xml:space="preserve">Formal ABC awareness training is not yet delivered as a distinct programme and should be added to the AML/CFT/CPF training already committed to in Section 1.6 as Kay's Limited's headcount grows.</w:t>
      </w:r>
    </w:p>
    <w:p>
      <w:pPr>
        <w:pStyle w:val="Heading1"/>
        <w:pageBreakBefore/>
        <w:spacing w:after="200" w:before="400"/>
      </w:pPr>
      <w:r>
        <w:t xml:space="preserve">Appendix A — Company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F5F5F5" w:val="clear"/>
          </w:tcPr>
          <w:p>
            <w:r>
              <w:rPr>
                <w:b/>
                <w:bCs/>
                <w:sz w:val="20"/>
                <w:szCs w:val="20"/>
              </w:rPr>
              <w:t xml:space="preserve">Legal entity name</w:t>
            </w:r>
          </w:p>
        </w:tc>
        <w:tc>
          <w:tcPr>
            <w:tcW w:type="dxa" w:w="6740"/>
          </w:tcPr>
          <w:p>
            <w:r>
              <w:rPr>
                <w:sz w:val="20"/>
                <w:szCs w:val="20"/>
              </w:rPr>
              <w:t xml:space="preserve">KAY'S LIMITED</w:t>
            </w:r>
          </w:p>
        </w:tc>
      </w:tr>
      <w:tr>
        <w:tc>
          <w:tcPr>
            <w:tcW w:type="dxa" w:w="3000"/>
            <w:shd w:fill="F5F5F5" w:val="clear"/>
          </w:tcPr>
          <w:p>
            <w:r>
              <w:rPr>
                <w:b/>
                <w:bCs/>
                <w:sz w:val="20"/>
                <w:szCs w:val="20"/>
              </w:rPr>
              <w:t xml:space="preserve">Trading name</w:t>
            </w:r>
          </w:p>
        </w:tc>
        <w:tc>
          <w:tcPr>
            <w:tcW w:type="dxa" w:w="6740"/>
          </w:tcPr>
          <w:p>
            <w:r>
              <w:rPr>
                <w:sz w:val="20"/>
                <w:szCs w:val="20"/>
              </w:rPr>
              <w:t xml:space="preserve">Kay's Pay</w:t>
            </w:r>
          </w:p>
        </w:tc>
      </w:tr>
      <w:tr>
        <w:tc>
          <w:tcPr>
            <w:tcW w:type="dxa" w:w="3000"/>
            <w:shd w:fill="F5F5F5" w:val="clear"/>
          </w:tcPr>
          <w:p>
            <w:r>
              <w:rPr>
                <w:b/>
                <w:bCs/>
                <w:sz w:val="20"/>
                <w:szCs w:val="20"/>
              </w:rPr>
              <w:t xml:space="preserve">Company registration number</w:t>
            </w:r>
          </w:p>
        </w:tc>
        <w:tc>
          <w:tcPr>
            <w:tcW w:type="dxa" w:w="6740"/>
          </w:tcPr>
          <w:p>
            <w:r>
              <w:rPr>
                <w:sz w:val="20"/>
                <w:szCs w:val="20"/>
              </w:rPr>
              <w:t xml:space="preserve">RC 9705891</w:t>
            </w:r>
          </w:p>
        </w:tc>
      </w:tr>
      <w:tr>
        <w:tc>
          <w:tcPr>
            <w:tcW w:type="dxa" w:w="3000"/>
            <w:shd w:fill="F5F5F5" w:val="clear"/>
          </w:tcPr>
          <w:p>
            <w:r>
              <w:rPr>
                <w:b/>
                <w:bCs/>
                <w:sz w:val="20"/>
                <w:szCs w:val="20"/>
              </w:rPr>
              <w:t xml:space="preserve">Date of incorporation</w:t>
            </w:r>
          </w:p>
        </w:tc>
        <w:tc>
          <w:tcPr>
            <w:tcW w:type="dxa" w:w="6740"/>
          </w:tcPr>
          <w:p>
            <w:r>
              <w:rPr>
                <w:sz w:val="20"/>
                <w:szCs w:val="20"/>
              </w:rPr>
              <w:t xml:space="preserve">23 July 2026 (Companies and Allied Matters Act 2020, private company limited by shares)</w:t>
            </w:r>
          </w:p>
        </w:tc>
      </w:tr>
      <w:tr>
        <w:tc>
          <w:tcPr>
            <w:tcW w:type="dxa" w:w="3000"/>
            <w:shd w:fill="F5F5F5" w:val="clear"/>
          </w:tcPr>
          <w:p>
            <w:r>
              <w:rPr>
                <w:b/>
                <w:bCs/>
                <w:sz w:val="20"/>
                <w:szCs w:val="20"/>
              </w:rPr>
              <w:t xml:space="preserve">Registered office</w:t>
            </w:r>
          </w:p>
        </w:tc>
        <w:tc>
          <w:tcPr>
            <w:tcW w:type="dxa" w:w="6740"/>
          </w:tcPr>
          <w:p>
            <w:r>
              <w:rPr>
                <w:sz w:val="20"/>
                <w:szCs w:val="20"/>
              </w:rPr>
              <w:t xml:space="preserve">Shop 25, Chindah Shopping Plaza, Rivers State University Main Gate, Port Harcourt, Rivers State, Nigeria</w:t>
            </w:r>
          </w:p>
        </w:tc>
      </w:tr>
      <w:tr>
        <w:tc>
          <w:tcPr>
            <w:tcW w:type="dxa" w:w="3000"/>
            <w:shd w:fill="F5F5F5" w:val="clear"/>
          </w:tcPr>
          <w:p>
            <w:r>
              <w:rPr>
                <w:b/>
                <w:bCs/>
                <w:sz w:val="20"/>
                <w:szCs w:val="20"/>
              </w:rPr>
              <w:t xml:space="preserve">Contact email</w:t>
            </w:r>
          </w:p>
        </w:tc>
        <w:tc>
          <w:tcPr>
            <w:tcW w:type="dxa" w:w="6740"/>
          </w:tcPr>
          <w:p>
            <w:r>
              <w:rPr>
                <w:sz w:val="20"/>
                <w:szCs w:val="20"/>
              </w:rPr>
              <w:t xml:space="preserve">support@kayspay.com.ng</w:t>
            </w:r>
          </w:p>
        </w:tc>
      </w:tr>
      <w:tr>
        <w:tc>
          <w:tcPr>
            <w:tcW w:type="dxa" w:w="3000"/>
            <w:shd w:fill="F5F5F5" w:val="clear"/>
          </w:tcPr>
          <w:p>
            <w:r>
              <w:rPr>
                <w:b/>
                <w:bCs/>
                <w:sz w:val="20"/>
                <w:szCs w:val="20"/>
              </w:rPr>
              <w:t xml:space="preserve">Contact phone</w:t>
            </w:r>
          </w:p>
        </w:tc>
        <w:tc>
          <w:tcPr>
            <w:tcW w:type="dxa" w:w="6740"/>
          </w:tcPr>
          <w:p>
            <w:r>
              <w:rPr>
                <w:sz w:val="20"/>
                <w:szCs w:val="20"/>
              </w:rPr>
              <w:t xml:space="preserve">0802 838 7709</w:t>
            </w:r>
          </w:p>
        </w:tc>
      </w:tr>
      <w:tr>
        <w:tc>
          <w:tcPr>
            <w:tcW w:type="dxa" w:w="3000"/>
            <w:shd w:fill="F5F5F5" w:val="clear"/>
          </w:tcPr>
          <w:p>
            <w:r>
              <w:rPr>
                <w:b/>
                <w:bCs/>
                <w:sz w:val="20"/>
                <w:szCs w:val="20"/>
              </w:rPr>
              <w:t xml:space="preserve">Website / app</w:t>
            </w:r>
          </w:p>
        </w:tc>
        <w:tc>
          <w:tcPr>
            <w:tcW w:type="dxa" w:w="6740"/>
          </w:tcPr>
          <w:p>
            <w:r>
              <w:rPr>
                <w:sz w:val="20"/>
                <w:szCs w:val="20"/>
              </w:rPr>
              <w:t xml:space="preserve">https://kayspay.com.ng</w:t>
            </w:r>
          </w:p>
        </w:tc>
      </w:tr>
      <w:tr>
        <w:tc>
          <w:tcPr>
            <w:tcW w:type="dxa" w:w="3000"/>
            <w:shd w:fill="F5F5F5" w:val="clear"/>
          </w:tcPr>
          <w:p>
            <w:r>
              <w:rPr>
                <w:b/>
                <w:bCs/>
                <w:sz w:val="20"/>
                <w:szCs w:val="20"/>
              </w:rPr>
              <w:t xml:space="preserve">Chief Executive Officer</w:t>
            </w:r>
          </w:p>
        </w:tc>
        <w:tc>
          <w:tcPr>
            <w:tcW w:type="dxa" w:w="6740"/>
          </w:tcPr>
          <w:p>
            <w:r>
              <w:rPr>
                <w:sz w:val="20"/>
                <w:szCs w:val="20"/>
              </w:rPr>
              <w:t xml:space="preserve">Ifekwe Kalu Ifekwe</w:t>
            </w:r>
          </w:p>
        </w:tc>
      </w:tr>
      <w:tr>
        <w:tc>
          <w:tcPr>
            <w:tcW w:type="dxa" w:w="3000"/>
            <w:shd w:fill="F5F5F5" w:val="clear"/>
          </w:tcPr>
          <w:p>
            <w:r>
              <w:rPr>
                <w:b/>
                <w:bCs/>
                <w:sz w:val="20"/>
                <w:szCs w:val="20"/>
              </w:rPr>
              <w:t xml:space="preserve">Interim Compliance Officer / MLRO</w:t>
            </w:r>
          </w:p>
        </w:tc>
        <w:tc>
          <w:tcPr>
            <w:tcW w:type="dxa" w:w="6740"/>
          </w:tcPr>
          <w:p>
            <w:r>
              <w:rPr>
                <w:sz w:val="20"/>
                <w:szCs w:val="20"/>
              </w:rPr>
              <w:t xml:space="preserve">Ifekwe Kalu Ifekwe</w:t>
            </w:r>
          </w:p>
        </w:tc>
      </w:tr>
      <w:tr>
        <w:tc>
          <w:tcPr>
            <w:tcW w:type="dxa" w:w="3000"/>
            <w:shd w:fill="F5F5F5" w:val="clear"/>
          </w:tcPr>
          <w:p>
            <w:r>
              <w:rPr>
                <w:b/>
                <w:bCs/>
                <w:sz w:val="20"/>
                <w:szCs w:val="20"/>
              </w:rPr>
              <w:t xml:space="preserve">Market served</w:t>
            </w:r>
          </w:p>
        </w:tc>
        <w:tc>
          <w:tcPr>
            <w:tcW w:type="dxa" w:w="6740"/>
          </w:tcPr>
          <w:p>
            <w:r>
              <w:rPr>
                <w:sz w:val="20"/>
                <w:szCs w:val="20"/>
              </w:rPr>
              <w:t xml:space="preserve">Federal Republic of Nigeria only</w:t>
            </w:r>
          </w:p>
        </w:tc>
      </w:tr>
      <w:tr>
        <w:tc>
          <w:tcPr>
            <w:tcW w:type="dxa" w:w="3000"/>
            <w:shd w:fill="F5F5F5" w:val="clear"/>
          </w:tcPr>
          <w:p>
            <w:r>
              <w:rPr>
                <w:b/>
                <w:bCs/>
                <w:sz w:val="20"/>
                <w:szCs w:val="20"/>
              </w:rPr>
              <w:t xml:space="preserve">Services in scope of this manual</w:t>
            </w:r>
          </w:p>
        </w:tc>
        <w:tc>
          <w:tcPr>
            <w:tcW w:type="dxa" w:w="6740"/>
          </w:tcPr>
          <w:p>
            <w:r>
              <w:rPr>
                <w:sz w:val="20"/>
                <w:szCs w:val="20"/>
              </w:rPr>
              <w:t xml:space="preserve">Wallet funding &amp; withdrawal, airtime, mobile data, electricity bill payment, cable TV subscription, examination result-checking PINs, eSIM/foreign virtual numbers, NIN/BVN identity verification</w:t>
            </w:r>
          </w:p>
        </w:tc>
      </w:tr>
      <w:tr>
        <w:tc>
          <w:tcPr>
            <w:tcW w:type="dxa" w:w="3000"/>
            <w:shd w:fill="F5F5F5" w:val="clear"/>
          </w:tcPr>
          <w:p>
            <w:r>
              <w:rPr>
                <w:b/>
                <w:bCs/>
                <w:sz w:val="20"/>
                <w:szCs w:val="20"/>
              </w:rPr>
              <w:t xml:space="preserve">Services explicitly out of scope</w:t>
            </w:r>
          </w:p>
        </w:tc>
        <w:tc>
          <w:tcPr>
            <w:tcW w:type="dxa" w:w="6740"/>
          </w:tcPr>
          <w:p>
            <w:r>
              <w:rPr>
                <w:sz w:val="20"/>
                <w:szCs w:val="20"/>
              </w:rPr>
              <w:t xml:space="preserve">Payroll disbursement, betting-wallet funding</w:t>
            </w:r>
          </w:p>
        </w:tc>
      </w:tr>
      <w:tr>
        <w:tc>
          <w:tcPr>
            <w:tcW w:type="dxa" w:w="3000"/>
            <w:shd w:fill="F5F5F5" w:val="clear"/>
          </w:tcPr>
          <w:p>
            <w:r>
              <w:rPr>
                <w:b/>
                <w:bCs/>
                <w:sz w:val="20"/>
                <w:szCs w:val="20"/>
              </w:rPr>
              <w:t xml:space="preserve">Primary KYC provider</w:t>
            </w:r>
          </w:p>
        </w:tc>
        <w:tc>
          <w:tcPr>
            <w:tcW w:type="dxa" w:w="6740"/>
          </w:tcPr>
          <w:p>
            <w:r>
              <w:rPr>
                <w:sz w:val="20"/>
                <w:szCs w:val="20"/>
              </w:rPr>
              <w:t xml:space="preserve">Prembly (NIN verification; BVN verification and slip as a separate paid service)</w:t>
            </w:r>
          </w:p>
        </w:tc>
      </w:tr>
    </w:tbl>
    <w:p>
      <w:pPr>
        <w:pStyle w:val="Heading1"/>
        <w:pageBreakBefore/>
        <w:spacing w:after="200" w:before="400"/>
      </w:pPr>
      <w:r>
        <w:t xml:space="preserve">Appendix B — Glossary</w:t>
      </w:r>
    </w:p>
    <w:p>
      <w:pPr>
        <w:spacing w:after="140" w:line="276"/>
      </w:pPr>
      <w:r>
        <w:rPr>
          <w:b/>
          <w:bCs/>
        </w:rPr>
        <w:t xml:space="preserve">ABC: </w:t>
      </w:r>
      <w:r>
        <w:t xml:space="preserve">Anti-Bribery and Corruption.</w:t>
      </w:r>
    </w:p>
    <w:p>
      <w:pPr>
        <w:spacing w:after="140" w:line="276"/>
      </w:pPr>
      <w:r>
        <w:rPr>
          <w:b/>
          <w:bCs/>
        </w:rPr>
        <w:t xml:space="preserve">AML/CFT/CPF: </w:t>
      </w:r>
      <w:r>
        <w:t xml:space="preserve">Anti-Money Laundering / Counter-Terrorist Financing / Counter-Proliferation Financing.</w:t>
      </w:r>
    </w:p>
    <w:p>
      <w:pPr>
        <w:spacing w:after="140" w:line="276"/>
      </w:pPr>
      <w:r>
        <w:rPr>
          <w:b/>
          <w:bCs/>
        </w:rPr>
        <w:t xml:space="preserve">CDD: </w:t>
      </w:r>
      <w:r>
        <w:t xml:space="preserve">Customer Due Diligence — standard identity verification and risk assessment performed on every customer.</w:t>
      </w:r>
    </w:p>
    <w:p>
      <w:pPr>
        <w:spacing w:after="140" w:line="276"/>
      </w:pPr>
      <w:r>
        <w:rPr>
          <w:b/>
          <w:bCs/>
        </w:rPr>
        <w:t xml:space="preserve">EDD: </w:t>
      </w:r>
      <w:r>
        <w:t xml:space="preserve">Enhanced Due Diligence — additional scrutiny applied to higher-risk customers or transactions.</w:t>
      </w:r>
    </w:p>
    <w:p>
      <w:pPr>
        <w:spacing w:after="140" w:line="276"/>
      </w:pPr>
      <w:r>
        <w:rPr>
          <w:b/>
          <w:bCs/>
        </w:rPr>
        <w:t xml:space="preserve">KYC / KYB: </w:t>
      </w:r>
      <w:r>
        <w:t xml:space="preserve">Know Your Customer / Know Your Business — verifying the identity of an individual or corporate customer.</w:t>
      </w:r>
    </w:p>
    <w:p>
      <w:pPr>
        <w:spacing w:after="140" w:line="276"/>
      </w:pPr>
      <w:r>
        <w:rPr>
          <w:b/>
          <w:bCs/>
        </w:rPr>
        <w:t xml:space="preserve">MLRO: </w:t>
      </w:r>
      <w:r>
        <w:t xml:space="preserve">Money Laundering Reporting Officer — the individual responsible for AML/CFT decisions and regulatory reporting.</w:t>
      </w:r>
    </w:p>
    <w:p>
      <w:pPr>
        <w:spacing w:after="140" w:line="276"/>
      </w:pPr>
      <w:r>
        <w:rPr>
          <w:b/>
          <w:bCs/>
        </w:rPr>
        <w:t xml:space="preserve">NDPA: </w:t>
      </w:r>
      <w:r>
        <w:t xml:space="preserve">Nigeria Data Protection Act 2023.</w:t>
      </w:r>
    </w:p>
    <w:p>
      <w:pPr>
        <w:spacing w:after="140" w:line="276"/>
      </w:pPr>
      <w:r>
        <w:rPr>
          <w:b/>
          <w:bCs/>
        </w:rPr>
        <w:t xml:space="preserve">NDPC: </w:t>
      </w:r>
      <w:r>
        <w:t xml:space="preserve">Nigeria Data Protection Commission — regulator for the NDPA.</w:t>
      </w:r>
    </w:p>
    <w:p>
      <w:pPr>
        <w:spacing w:after="140" w:line="276"/>
      </w:pPr>
      <w:r>
        <w:rPr>
          <w:b/>
          <w:bCs/>
        </w:rPr>
        <w:t xml:space="preserve">NFIU: </w:t>
      </w:r>
      <w:r>
        <w:t xml:space="preserve">Nigerian Financial Intelligence Unit — recipient of suspicious transaction/activity reports.</w:t>
      </w:r>
    </w:p>
    <w:p>
      <w:pPr>
        <w:spacing w:after="140" w:line="276"/>
      </w:pPr>
      <w:r>
        <w:rPr>
          <w:b/>
          <w:bCs/>
        </w:rPr>
        <w:t xml:space="preserve">PEP: </w:t>
      </w:r>
      <w:r>
        <w:t xml:space="preserve">Politically Exposed Person — an individual entrusted with a prominent public function, or their close associate/family member.</w:t>
      </w:r>
    </w:p>
    <w:p>
      <w:pPr>
        <w:spacing w:after="140" w:line="276"/>
      </w:pPr>
      <w:r>
        <w:rPr>
          <w:b/>
          <w:bCs/>
        </w:rPr>
        <w:t xml:space="preserve">SAR / STR: </w:t>
      </w:r>
      <w:r>
        <w:t xml:space="preserve">Suspicious Activity Report / Suspicious Transaction Report — a report filed with the NFIU.</w:t>
      </w:r>
    </w:p>
    <w:p>
      <w:pPr>
        <w:spacing w:after="140" w:line="276"/>
      </w:pPr>
      <w:r>
        <w:rPr>
          <w:b/>
          <w:bCs/>
        </w:rPr>
        <w:t xml:space="preserve">VASP: </w:t>
      </w:r>
      <w:r>
        <w:t xml:space="preserve">Virtual Asset Service Provider — a business dealing in the exchange, transfer, custody or administration of virtual/digital assets, regulated in Nigeria by the SEC.</w:t>
      </w:r>
    </w:p>
    <w:p>
      <w:pPr>
        <w:pStyle w:val="Heading1"/>
        <w:pageBreakBefore/>
        <w:spacing w:after="200" w:before="400"/>
      </w:pPr>
      <w:r>
        <w:t xml:space="preserve">Appendix C — 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c>
          <w:tcPr>
            <w:tcW w:type="dxa" w:w="3000"/>
            <w:shd w:fill="F5F5F5" w:val="clear"/>
          </w:tcPr>
          <w:p>
            <w:r>
              <w:rPr>
                <w:b/>
                <w:bCs/>
                <w:sz w:val="20"/>
                <w:szCs w:val="20"/>
              </w:rPr>
              <w:t xml:space="preserve">Version</w:t>
            </w:r>
          </w:p>
        </w:tc>
        <w:tc>
          <w:tcPr>
            <w:tcW w:type="dxa" w:w="6740"/>
          </w:tcPr>
          <w:p>
            <w:r>
              <w:rPr>
                <w:sz w:val="20"/>
                <w:szCs w:val="20"/>
              </w:rPr>
              <w:t xml:space="preserve">1.1 — Draft for legal review (Anti-Bribery &amp; Corruption section added)</w:t>
            </w:r>
          </w:p>
        </w:tc>
      </w:tr>
      <w:tr>
        <w:tc>
          <w:tcPr>
            <w:tcW w:type="dxa" w:w="3000"/>
            <w:shd w:fill="F5F5F5" w:val="clear"/>
          </w:tcPr>
          <w:p>
            <w:r>
              <w:rPr>
                <w:b/>
                <w:bCs/>
                <w:sz w:val="20"/>
                <w:szCs w:val="20"/>
              </w:rPr>
              <w:t xml:space="preserve">Effective date</w:t>
            </w:r>
          </w:p>
        </w:tc>
        <w:tc>
          <w:tcPr>
            <w:tcW w:type="dxa" w:w="6740"/>
          </w:tcPr>
          <w:p>
            <w:r>
              <w:rPr>
                <w:sz w:val="20"/>
                <w:szCs w:val="20"/>
              </w:rPr>
              <w:t xml:space="preserve">8 August 2026</w:t>
            </w:r>
          </w:p>
        </w:tc>
      </w:tr>
      <w:tr>
        <w:tc>
          <w:tcPr>
            <w:tcW w:type="dxa" w:w="3000"/>
            <w:shd w:fill="F5F5F5" w:val="clear"/>
          </w:tcPr>
          <w:p>
            <w:r>
              <w:rPr>
                <w:b/>
                <w:bCs/>
                <w:sz w:val="20"/>
                <w:szCs w:val="20"/>
              </w:rPr>
              <w:t xml:space="preserve">Owner</w:t>
            </w:r>
          </w:p>
        </w:tc>
        <w:tc>
          <w:tcPr>
            <w:tcW w:type="dxa" w:w="6740"/>
          </w:tcPr>
          <w:p>
            <w:r>
              <w:rPr>
                <w:sz w:val="20"/>
                <w:szCs w:val="20"/>
              </w:rPr>
              <w:t xml:space="preserve">Compliance Officer / MLRO</w:t>
            </w:r>
          </w:p>
        </w:tc>
      </w:tr>
      <w:tr>
        <w:tc>
          <w:tcPr>
            <w:tcW w:type="dxa" w:w="3000"/>
            <w:shd w:fill="F5F5F5" w:val="clear"/>
          </w:tcPr>
          <w:p>
            <w:r>
              <w:rPr>
                <w:b/>
                <w:bCs/>
                <w:sz w:val="20"/>
                <w:szCs w:val="20"/>
              </w:rPr>
              <w:t xml:space="preserve">Approved by</w:t>
            </w:r>
          </w:p>
        </w:tc>
        <w:tc>
          <w:tcPr>
            <w:tcW w:type="dxa" w:w="6740"/>
          </w:tcPr>
          <w:p>
            <w:r>
              <w:rPr>
                <w:sz w:val="20"/>
                <w:szCs w:val="20"/>
              </w:rPr>
              <w:t xml:space="preserve">Ifekwe Kalu Ifekwe, Chief Executive Officer</w:t>
            </w:r>
          </w:p>
        </w:tc>
      </w:tr>
      <w:tr>
        <w:tc>
          <w:tcPr>
            <w:tcW w:type="dxa" w:w="3000"/>
            <w:shd w:fill="F5F5F5" w:val="clear"/>
          </w:tcPr>
          <w:p>
            <w:r>
              <w:rPr>
                <w:b/>
                <w:bCs/>
                <w:sz w:val="20"/>
                <w:szCs w:val="20"/>
              </w:rPr>
              <w:t xml:space="preserve">Review cycle</w:t>
            </w:r>
          </w:p>
        </w:tc>
        <w:tc>
          <w:tcPr>
            <w:tcW w:type="dxa" w:w="6740"/>
          </w:tcPr>
          <w:p>
            <w:r>
              <w:rPr>
                <w:sz w:val="20"/>
                <w:szCs w:val="20"/>
              </w:rPr>
              <w:t xml:space="preserve">At least annually, and after any material incident, regulatory change, or new service launch</w:t>
            </w:r>
          </w:p>
        </w:tc>
      </w:tr>
      <w:tr>
        <w:tc>
          <w:tcPr>
            <w:tcW w:type="dxa" w:w="3000"/>
            <w:shd w:fill="F5F5F5" w:val="clear"/>
          </w:tcPr>
          <w:p>
            <w:r>
              <w:rPr>
                <w:b/>
                <w:bCs/>
                <w:sz w:val="20"/>
                <w:szCs w:val="20"/>
              </w:rPr>
              <w:t xml:space="preserve">Distribution</w:t>
            </w:r>
          </w:p>
        </w:tc>
        <w:tc>
          <w:tcPr>
            <w:tcW w:type="dxa" w:w="6740"/>
          </w:tcPr>
          <w:p>
            <w:r>
              <w:rPr>
                <w:sz w:val="20"/>
                <w:szCs w:val="20"/>
              </w:rPr>
              <w:t xml:space="preserve">Internal use, and external review by Quidax and legal counsel as required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A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C3A" w:sz="6" w:space="4"/>
      </w:pBdr>
      <w:spacing w:after="160" w:before="240"/>
    </w:pPr>
    <w:rPr>
      <w:rFonts w:ascii="Calibri" w:cs="Calibri" w:eastAsia="Calibri" w:hAnsi="Calibri"/>
      <w:b/>
      <w:bCs/>
      <w:color w:val="1A5C3A"/>
      <w:sz w:val="30"/>
      <w:szCs w:val="30"/>
    </w:rPr>
  </w:style>
  <w:style w:type="paragraph" w:styleId="Heading2">
    <w:name w:val="Heading 2"/>
    <w:basedOn w:val="Normal"/>
    <w:next w:val="Normal"/>
    <w:qFormat/>
    <w:rPr>
      <w:rFonts w:ascii="Calibri" w:cs="Calibri" w:eastAsia="Calibri" w:hAnsi="Calibri"/>
      <w:b/>
      <w:bCs/>
      <w:color w:val="0F1A14"/>
      <w:sz w:val="25"/>
      <w:szCs w:val="25"/>
    </w:rPr>
  </w:style>
  <w:style w:type="paragraph" w:styleId="Heading3">
    <w:name w:val="Heading 3"/>
    <w:basedOn w:val="Normal"/>
    <w:next w:val="Normal"/>
    <w:qFormat/>
    <w:rPr>
      <w:rFonts w:ascii="Calibri" w:cs="Calibri" w:eastAsia="Calibri" w:hAnsi="Calibri"/>
      <w:b/>
      <w:bCs/>
      <w:i/>
      <w:iCs/>
      <w:color w:val="0F1A14"/>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9ce7b1642f47feb59fd2ea339293ec9a01bbcc.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2026-08-04T11:26:18.917Z</dcterms:created>
  <dcterms:modified xsi:type="dcterms:W3CDTF">2026-08-04T11:26:18.918Z</dcterms:modified>
</cp:coreProperties>
</file>

<file path=docProps/custom.xml><?xml version="1.0" encoding="utf-8"?>
<Properties xmlns="http://schemas.openxmlformats.org/officeDocument/2006/custom-properties" xmlns:vt="http://schemas.openxmlformats.org/officeDocument/2006/docPropsVTypes"/>
</file>