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5D92D32B" w:rsidR="003C0082" w:rsidRPr="00122674" w:rsidRDefault="00171346" w:rsidP="00D94007">
      <w:pPr>
        <w:jc w:val="left"/>
        <w:rPr>
          <w:rFonts w:ascii="Georgia" w:hAnsi="Georgia" w:cstheme="majorHAnsi"/>
          <w:sz w:val="68"/>
          <w:szCs w:val="68"/>
        </w:rPr>
      </w:pPr>
      <w:r>
        <w:rPr>
          <w:rFonts w:ascii="Georgia" w:hAnsi="Georgia" w:cstheme="majorHAnsi"/>
          <w:sz w:val="68"/>
          <w:szCs w:val="68"/>
        </w:rPr>
        <w:t>ANALISIS REGULATORIO</w:t>
      </w:r>
      <w:r w:rsidR="00122674" w:rsidRPr="00122674">
        <w:rPr>
          <w:rFonts w:ascii="Georgia" w:hAnsi="Georgia" w:cstheme="majorHAnsi"/>
          <w:sz w:val="68"/>
          <w:szCs w:val="68"/>
        </w:rPr>
        <w:t xml:space="preserve"> </w:t>
      </w:r>
      <w:r>
        <w:rPr>
          <w:rFonts w:ascii="Georgia" w:hAnsi="Georgia" w:cstheme="majorHAnsi"/>
          <w:sz w:val="68"/>
          <w:szCs w:val="68"/>
        </w:rPr>
        <w:t>[Ley analizada]</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[Fecha]</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F2303B" w:rsidRDefault="007D582F" w:rsidP="007D088C">
      <w:pPr>
        <w:pStyle w:val="Heading1"/>
        <w:rPr>
          <w:lang w:val="en-US"/>
        </w:rPr>
      </w:pPr>
      <w:bookmarkStart w:id="0" w:name="_Toc192706033"/>
      <w:r w:rsidRPr="00F2303B">
        <w:rPr>
          <w:lang w:val="en-US"/>
        </w:rPr>
        <w:lastRenderedPageBreak/>
        <w:t>Context</w:t>
      </w:r>
      <w:r w:rsidR="001F5749">
        <w:rPr>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Default="00171346" w:rsidP="003C0082">
      <w:pPr>
        <w:pStyle w:val="Heading1"/>
        <w:rPr>
          <w:color w:val="1A3B47"/>
          <w:lang w:val="en-US"/>
        </w:rPr>
      </w:pPr>
      <w:r>
        <w:rPr>
          <w:color w:val="1A3B47"/>
          <w:lang w:val="en-US"/>
        </w:rPr>
        <w:lastRenderedPageBreak/>
        <w:t>Executive Summary</w:t>
      </w:r>
    </w:p>
    <w:p w14:paraId="3F5B8A5F" w14:textId="27779FE5" w:rsidR="00C3668A" w:rsidRPr="00DA7D73" w:rsidRDefault="00C3668A" w:rsidP="00DA7D73">
      <w:r>
        <w:t>[</w:t>
      </w:r>
      <w:r w:rsidRPr="00C3668A">
        <w:rPr>
          <w:b/>
          <w:bCs/>
        </w:rPr>
        <w:t>A rellenar por AgentIA</w:t>
      </w:r>
      <w:r>
        <w:t>]</w:t>
      </w:r>
    </w:p>
    <w:p w14:paraId="2BF609EC" w14:textId="07B9863B" w:rsidR="006E4B40" w:rsidRPr="00057377" w:rsidRDefault="006E4B40" w:rsidP="003C0082"/>
    <w:p w14:paraId="735F2E32" w14:textId="257C1DCE" w:rsidR="006E4B40" w:rsidRPr="00057377" w:rsidRDefault="006E4B40" w:rsidP="003C0082"/>
    <w:p w14:paraId="259036E3" w14:textId="28966E25" w:rsidR="006E4B40" w:rsidRPr="00057377" w:rsidRDefault="006E4B40" w:rsidP="003C0082"/>
    <w:p w14:paraId="2E0C4674" w14:textId="27F78EC8" w:rsidR="006E4B40" w:rsidRPr="00057377" w:rsidRDefault="006E4B40" w:rsidP="003C0082"/>
    <w:p w14:paraId="5F2D62CD" w14:textId="77777777" w:rsidR="006E4B40" w:rsidRPr="00057377" w:rsidRDefault="006E4B40" w:rsidP="003C0082"/>
    <w:p w14:paraId="53D0958E" w14:textId="77777777" w:rsidR="007D582F" w:rsidRPr="00057377" w:rsidRDefault="007D582F" w:rsidP="007D582F"/>
    <w:p w14:paraId="04063FE2" w14:textId="77777777" w:rsidR="00F83D63" w:rsidRPr="00057377" w:rsidRDefault="00F83D63" w:rsidP="00F83D63">
      <w:pPr>
        <w:rPr>
          <w:lang w:eastAsia="es-ES"/>
        </w:rPr>
      </w:pPr>
    </w:p>
    <w:p w14:paraId="7ECD65AA" w14:textId="77777777" w:rsidR="00F83D63" w:rsidRPr="00057377" w:rsidRDefault="00F83D63" w:rsidP="00F83D63">
      <w:pPr>
        <w:rPr>
          <w:lang w:eastAsia="es-ES"/>
        </w:rPr>
      </w:pPr>
    </w:p>
    <w:p w14:paraId="39E608E9" w14:textId="77777777" w:rsidR="00F83D63" w:rsidRPr="00057377" w:rsidRDefault="00F83D63" w:rsidP="00F83D63">
      <w:pPr>
        <w:rPr>
          <w:lang w:eastAsia="es-ES"/>
        </w:rPr>
      </w:pPr>
    </w:p>
    <w:p w14:paraId="48F0AA03" w14:textId="77777777" w:rsidR="00F83D63" w:rsidRPr="00057377" w:rsidRDefault="00F83D63" w:rsidP="00F83D63">
      <w:pPr>
        <w:rPr>
          <w:lang w:eastAsia="es-ES"/>
        </w:rPr>
      </w:pPr>
    </w:p>
    <w:p w14:paraId="53B706FC" w14:textId="77777777" w:rsidR="00F83D63" w:rsidRPr="00057377" w:rsidRDefault="00F83D63" w:rsidP="00F83D63">
      <w:pPr>
        <w:rPr>
          <w:lang w:eastAsia="es-ES"/>
        </w:rPr>
      </w:pPr>
    </w:p>
    <w:p w14:paraId="2F93DFD8" w14:textId="77777777" w:rsidR="00F83D63" w:rsidRPr="00057377" w:rsidRDefault="00F83D63" w:rsidP="00F83D63">
      <w:pPr>
        <w:rPr>
          <w:lang w:eastAsia="es-ES"/>
        </w:rPr>
      </w:pPr>
    </w:p>
    <w:p w14:paraId="56FF2354" w14:textId="77777777" w:rsidR="00F83D63" w:rsidRPr="00057377" w:rsidRDefault="00F83D63" w:rsidP="00F83D63">
      <w:pPr>
        <w:rPr>
          <w:lang w:eastAsia="es-ES"/>
        </w:rPr>
      </w:pPr>
    </w:p>
    <w:p w14:paraId="14FB40C2" w14:textId="77777777" w:rsidR="00F83D63" w:rsidRPr="00057377" w:rsidRDefault="00F83D63" w:rsidP="00F83D63">
      <w:pPr>
        <w:rPr>
          <w:lang w:eastAsia="es-ES"/>
        </w:rPr>
      </w:pPr>
    </w:p>
    <w:p w14:paraId="05F013E5" w14:textId="77777777" w:rsidR="00544EF6" w:rsidRPr="00057377" w:rsidRDefault="00544EF6" w:rsidP="00544EF6"/>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057377" w:rsidRDefault="00171346" w:rsidP="00544EF6">
      <w:pPr>
        <w:pStyle w:val="Heading1"/>
      </w:pPr>
      <w:bookmarkStart w:id="6" w:name="_Toc288670314"/>
      <w:bookmarkStart w:id="7" w:name="_Toc288670795"/>
      <w:bookmarkEnd w:id="4"/>
      <w:bookmarkEnd w:id="5"/>
      <w:r>
        <w:rPr>
          <w:color w:val="1A3B47"/>
        </w:rPr>
        <w:lastRenderedPageBreak/>
        <w:t>Alcance</w:t>
      </w:r>
    </w:p>
    <w:bookmarkEnd w:id="6"/>
    <w:bookmarkEnd w:id="7"/>
    <w:p w14:paraId="083D9BD3" w14:textId="77777777" w:rsidR="00171346" w:rsidRPr="00DA7D73" w:rsidRDefault="00171346" w:rsidP="00171346">
      <w:r>
        <w:t>[</w:t>
      </w:r>
      <w:r w:rsidRPr="00C3668A">
        <w:rPr>
          <w:b/>
          <w:bCs/>
        </w:rPr>
        <w:t>A rellenar por AgentIA</w:t>
      </w:r>
      <w:r>
        <w:t>]</w:t>
      </w:r>
    </w:p>
    <w:p w14:paraId="490A5691" w14:textId="77777777" w:rsidR="003B5572" w:rsidRDefault="003B5572" w:rsidP="00057377">
      <w:pPr>
        <w:spacing w:before="100" w:beforeAutospacing="1" w:after="100" w:afterAutospacing="1"/>
        <w:jc w:val="left"/>
        <w:rPr>
          <w:rFonts w:ascii="Times New Roman" w:hAnsi="Times New Roman"/>
          <w:color w:val="auto"/>
          <w:kern w:val="0"/>
          <w:sz w:val="24"/>
          <w:lang w:eastAsia="es-ES"/>
        </w:rPr>
      </w:pPr>
    </w:p>
    <w:p w14:paraId="75DB7431" w14:textId="77777777" w:rsidR="0017565F" w:rsidRDefault="0017565F" w:rsidP="005F40E1">
      <w:pPr>
        <w:spacing w:before="0" w:after="200" w:line="276" w:lineRule="auto"/>
      </w:pPr>
    </w:p>
    <w:p w14:paraId="5784CFF6" w14:textId="77777777" w:rsidR="003B5572" w:rsidRDefault="003B5572" w:rsidP="005F40E1">
      <w:pPr>
        <w:spacing w:before="0" w:after="200" w:line="276" w:lineRule="auto"/>
      </w:pPr>
    </w:p>
    <w:p w14:paraId="126AA4CD" w14:textId="77777777" w:rsidR="003B5572" w:rsidRDefault="003B5572" w:rsidP="005F40E1">
      <w:pPr>
        <w:spacing w:before="0" w:after="200" w:line="276" w:lineRule="auto"/>
      </w:pPr>
    </w:p>
    <w:p w14:paraId="77F886D6" w14:textId="77777777" w:rsidR="003B5572" w:rsidRDefault="003B5572" w:rsidP="005F40E1">
      <w:pPr>
        <w:spacing w:before="0" w:after="200" w:line="276" w:lineRule="auto"/>
      </w:pPr>
    </w:p>
    <w:p w14:paraId="4F81F6FA" w14:textId="77777777" w:rsidR="003B5572" w:rsidRDefault="003B5572" w:rsidP="005F40E1">
      <w:pPr>
        <w:spacing w:before="0" w:after="200" w:line="276" w:lineRule="auto"/>
      </w:pPr>
    </w:p>
    <w:p w14:paraId="5F4B6BAD" w14:textId="77777777" w:rsidR="003B5572" w:rsidRDefault="003B5572" w:rsidP="005F40E1">
      <w:pPr>
        <w:spacing w:before="0" w:after="200" w:line="276" w:lineRule="auto"/>
      </w:pPr>
    </w:p>
    <w:p w14:paraId="1004F509" w14:textId="77777777" w:rsidR="003B5572" w:rsidRDefault="003B5572" w:rsidP="005F40E1">
      <w:pPr>
        <w:spacing w:before="0" w:after="200" w:line="276" w:lineRule="auto"/>
      </w:pPr>
    </w:p>
    <w:p w14:paraId="0B27BD34" w14:textId="0E922306" w:rsidR="003B5572" w:rsidRDefault="003B5572">
      <w:pPr>
        <w:spacing w:before="0" w:after="200" w:line="276" w:lineRule="auto"/>
        <w:jc w:val="left"/>
      </w:pPr>
      <w:r>
        <w:br w:type="page"/>
      </w:r>
    </w:p>
    <w:p w14:paraId="7F2CB819" w14:textId="4AEBB697" w:rsidR="003C0082" w:rsidRDefault="00171346" w:rsidP="003C0082">
      <w:pPr>
        <w:pStyle w:val="Heading1"/>
        <w:rPr>
          <w:color w:val="1A3B47"/>
          <w:lang w:val="en-US"/>
        </w:rPr>
      </w:pPr>
      <w:r>
        <w:rPr>
          <w:color w:val="1A3B47"/>
          <w:lang w:val="en-US"/>
        </w:rPr>
        <w:lastRenderedPageBreak/>
        <w:t>Findings</w:t>
      </w:r>
    </w:p>
    <w:p w14:paraId="1514DE3D" w14:textId="77777777" w:rsidR="00BC3F14" w:rsidRDefault="00BC3F14" w:rsidP="00E0311B"/>
    <w:p w14:paraId="4A3E0CD6" w14:textId="77777777" w:rsidR="00057377" w:rsidRDefault="00057377" w:rsidP="00057377">
      <w:pPr>
        <w:spacing w:before="0" w:after="200" w:line="276" w:lineRule="auto"/>
        <w:rPr>
          <w:b/>
          <w:bCs/>
        </w:rPr>
      </w:pPr>
    </w:p>
    <w:p w14:paraId="2C89D1AB" w14:textId="77777777" w:rsidR="00171346" w:rsidRDefault="00171346" w:rsidP="00057377">
      <w:pPr>
        <w:spacing w:before="0" w:after="200" w:line="276" w:lineRule="auto"/>
        <w:rPr>
          <w:b/>
          <w:bCs/>
        </w:rPr>
      </w:pPr>
    </w:p>
    <w:p w14:paraId="4FD57464" w14:textId="77777777" w:rsidR="00171346" w:rsidRDefault="00171346" w:rsidP="00057377">
      <w:pPr>
        <w:spacing w:before="0" w:after="200" w:line="276" w:lineRule="auto"/>
        <w:rPr>
          <w:b/>
          <w:bCs/>
        </w:rPr>
      </w:pPr>
    </w:p>
    <w:p w14:paraId="66FC579E" w14:textId="77777777" w:rsidR="00171346" w:rsidRDefault="00171346" w:rsidP="00057377">
      <w:pPr>
        <w:spacing w:before="0" w:after="200" w:line="276" w:lineRule="auto"/>
        <w:rPr>
          <w:b/>
          <w:bCs/>
        </w:rPr>
      </w:pPr>
    </w:p>
    <w:p w14:paraId="7A0D12C9" w14:textId="77777777" w:rsidR="00171346" w:rsidRDefault="00171346" w:rsidP="00057377">
      <w:pPr>
        <w:spacing w:before="0" w:after="200" w:line="276" w:lineRule="auto"/>
        <w:rPr>
          <w:b/>
          <w:bCs/>
        </w:rPr>
      </w:pPr>
    </w:p>
    <w:p w14:paraId="4A902E50" w14:textId="77777777" w:rsidR="00171346" w:rsidRDefault="00171346" w:rsidP="00057377">
      <w:pPr>
        <w:spacing w:before="0" w:after="200" w:line="276" w:lineRule="auto"/>
        <w:rPr>
          <w:b/>
          <w:bCs/>
        </w:rPr>
      </w:pPr>
    </w:p>
    <w:p w14:paraId="73B2D99C" w14:textId="77777777" w:rsidR="00171346" w:rsidRDefault="00171346" w:rsidP="00057377">
      <w:pPr>
        <w:spacing w:before="0" w:after="200" w:line="276" w:lineRule="auto"/>
        <w:rPr>
          <w:b/>
          <w:bCs/>
        </w:rPr>
      </w:pPr>
    </w:p>
    <w:p w14:paraId="269A004C" w14:textId="77777777" w:rsidR="00171346" w:rsidRDefault="00171346" w:rsidP="00057377">
      <w:pPr>
        <w:spacing w:before="0" w:after="200" w:line="276" w:lineRule="auto"/>
        <w:rPr>
          <w:b/>
          <w:bCs/>
        </w:rPr>
      </w:pPr>
    </w:p>
    <w:p w14:paraId="6B284056" w14:textId="28BF6455" w:rsidR="00057377" w:rsidRDefault="00057377" w:rsidP="00057377">
      <w:pPr>
        <w:pStyle w:val="Heading1"/>
        <w:rPr>
          <w:color w:val="1A3B47"/>
          <w:lang w:val="en-US"/>
        </w:rPr>
      </w:pPr>
      <w:bookmarkStart w:id="8" w:name="_Toc192706037"/>
      <w:r>
        <w:rPr>
          <w:color w:val="1A3B47"/>
          <w:lang w:val="en-US"/>
        </w:rPr>
        <w:t>Conclusiones y recomendaciones</w:t>
      </w:r>
      <w:bookmarkEnd w:id="8"/>
    </w:p>
    <w:p w14:paraId="497AA737" w14:textId="7ACDC989" w:rsidR="00057377" w:rsidRPr="00057377" w:rsidRDefault="00171346" w:rsidP="00057377">
      <w:pPr>
        <w:spacing w:before="0" w:after="200" w:line="276" w:lineRule="auto"/>
      </w:pPr>
      <w:r>
        <w:t>[</w:t>
      </w:r>
      <w:r w:rsidRPr="00C3668A">
        <w:rPr>
          <w:b/>
          <w:bCs/>
        </w:rPr>
        <w:t>A rellenar por AgentIA</w:t>
      </w:r>
      <w:r>
        <w:t>]</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A4BC" w14:textId="77777777" w:rsidR="0006043B" w:rsidRDefault="0006043B" w:rsidP="00544EF6">
      <w:pPr>
        <w:spacing w:before="0"/>
      </w:pPr>
      <w:r>
        <w:separator/>
      </w:r>
    </w:p>
  </w:endnote>
  <w:endnote w:type="continuationSeparator" w:id="0">
    <w:p w14:paraId="3CCACC88" w14:textId="77777777" w:rsidR="0006043B" w:rsidRDefault="0006043B" w:rsidP="00544EF6">
      <w:pPr>
        <w:spacing w:before="0"/>
      </w:pPr>
      <w:r>
        <w:continuationSeparator/>
      </w:r>
    </w:p>
  </w:endnote>
  <w:endnote w:type="continuationNotice" w:id="1">
    <w:p w14:paraId="0BCC888E" w14:textId="77777777" w:rsidR="0006043B" w:rsidRDefault="000604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565B" w14:textId="20520110" w:rsidR="00F27B50" w:rsidRDefault="0090760C">
    <w:pPr>
      <w:pStyle w:val="Footer"/>
    </w:pPr>
    <w:r>
      <w:rPr>
        <w:noProof/>
        <w:lang w:val="en-US"/>
      </w:rPr>
      <w:drawing>
        <wp:anchor distT="0" distB="0" distL="114300" distR="114300" simplePos="0" relativeHeight="251658242" behindDoc="0" locked="0" layoutInCell="1" allowOverlap="1" wp14:anchorId="2905F452" wp14:editId="0D57AA3F">
          <wp:simplePos x="0" y="0"/>
          <wp:positionH relativeFrom="column">
            <wp:posOffset>-414959</wp:posOffset>
          </wp:positionH>
          <wp:positionV relativeFrom="paragraph">
            <wp:posOffset>-131445</wp:posOffset>
          </wp:positionV>
          <wp:extent cx="1537970" cy="461010"/>
          <wp:effectExtent l="0" t="0" r="0" b="0"/>
          <wp:wrapThrough wrapText="bothSides">
            <wp:wrapPolygon edited="0">
              <wp:start x="10434" y="2678"/>
              <wp:lineTo x="4816" y="6248"/>
              <wp:lineTo x="4013" y="7140"/>
              <wp:lineTo x="4013" y="16959"/>
              <wp:lineTo x="17391" y="16959"/>
              <wp:lineTo x="17926" y="8926"/>
              <wp:lineTo x="16588" y="6248"/>
              <wp:lineTo x="12040" y="2678"/>
              <wp:lineTo x="10434" y="2678"/>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970" cy="461010"/>
                  </a:xfrm>
                  <a:prstGeom prst="rect">
                    <a:avLst/>
                  </a:prstGeom>
                  <a:noFill/>
                </pic:spPr>
              </pic:pic>
            </a:graphicData>
          </a:graphic>
          <wp14:sizeRelH relativeFrom="page">
            <wp14:pctWidth>0</wp14:pctWidth>
          </wp14:sizeRelH>
          <wp14:sizeRelV relativeFrom="page">
            <wp14:pctHeight>0</wp14:pctHeight>
          </wp14:sizeRelV>
        </wp:anchor>
      </w:drawing>
    </w:r>
    <w:r w:rsidR="00F27B50" w:rsidRPr="003F5627">
      <w:rPr>
        <w:b/>
        <w:noProof/>
        <w:color w:val="1A3B47" w:themeColor="text1"/>
        <w:sz w:val="16"/>
        <w:lang w:eastAsia="es-ES"/>
      </w:rPr>
      <mc:AlternateContent>
        <mc:Choice Requires="wps">
          <w:drawing>
            <wp:anchor distT="0" distB="0" distL="114300" distR="114300" simplePos="0" relativeHeight="251658241" behindDoc="0" locked="0" layoutInCell="1" allowOverlap="1" wp14:anchorId="2C23D4D8" wp14:editId="04FF7997">
              <wp:simplePos x="0" y="0"/>
              <wp:positionH relativeFrom="column">
                <wp:posOffset>5583555</wp:posOffset>
              </wp:positionH>
              <wp:positionV relativeFrom="paragraph">
                <wp:posOffset>87326</wp:posOffset>
              </wp:positionV>
              <wp:extent cx="278130" cy="283845"/>
              <wp:effectExtent l="0" t="0" r="0" b="1905"/>
              <wp:wrapNone/>
              <wp:docPr id="36158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8384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EEB2E" w14:textId="77777777" w:rsidR="00F27B50" w:rsidRPr="00FF0F19" w:rsidRDefault="00F27B50" w:rsidP="00F27B50">
                          <w:pPr>
                            <w:pStyle w:val="Footer"/>
                            <w:spacing w:before="0"/>
                            <w:jc w:val="center"/>
                            <w:rPr>
                              <w:color w:val="auto"/>
                              <w:sz w:val="16"/>
                              <w:szCs w:val="20"/>
                            </w:rPr>
                          </w:pPr>
                          <w:r w:rsidRPr="00FF0F19">
                            <w:rPr>
                              <w:color w:val="auto"/>
                              <w:sz w:val="16"/>
                            </w:rPr>
                            <w:fldChar w:fldCharType="begin"/>
                          </w:r>
                          <w:r w:rsidRPr="00FF0F19">
                            <w:rPr>
                              <w:color w:val="auto"/>
                              <w:sz w:val="16"/>
                            </w:rPr>
                            <w:instrText xml:space="preserve"> PAGE    \* MERGEFORMAT </w:instrText>
                          </w:r>
                          <w:r w:rsidRPr="00FF0F19">
                            <w:rPr>
                              <w:color w:val="auto"/>
                              <w:sz w:val="16"/>
                            </w:rPr>
                            <w:fldChar w:fldCharType="separate"/>
                          </w:r>
                          <w:r w:rsidRPr="00453736">
                            <w:rPr>
                              <w:noProof/>
                              <w:color w:val="auto"/>
                              <w:sz w:val="16"/>
                              <w:szCs w:val="20"/>
                            </w:rPr>
                            <w:t>3</w:t>
                          </w:r>
                          <w:r w:rsidRPr="00FF0F19">
                            <w:rPr>
                              <w:noProof/>
                              <w:color w:val="auto"/>
                              <w:sz w:val="16"/>
                              <w:szCs w:val="20"/>
                            </w:rPr>
                            <w:fldChar w:fldCharType="end"/>
                          </w:r>
                        </w:p>
                      </w:txbxContent>
                    </wps:txbx>
                    <wps:bodyPr rot="0" vert="horz" wrap="square" lIns="54864" tIns="0" rIns="54864"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3D4D8" id="_x0000_t202" coordsize="21600,21600" o:spt="202" path="m,l,21600r21600,l21600,xe">
              <v:stroke joinstyle="miter"/>
              <v:path gradientshapeok="t" o:connecttype="rect"/>
            </v:shapetype>
            <v:shape id="Text Box 19" o:spid="_x0000_s1027" type="#_x0000_t202" style="position:absolute;left:0;text-align:left;margin-left:439.65pt;margin-top:6.9pt;width:21.9pt;height:22.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" filled="f" fillcolor="#1a3b47 [3204]" stroked="f">
              <v:textbox inset="4.32pt,0,4.32pt,0">
                <w:txbxContent>
                  <w:p w14:paraId="662EEB2E" w14:textId="77777777" w:rsidR="00F27B50" w:rsidRPr="00FF0F19" w:rsidRDefault="00F27B50" w:rsidP="00F27B50">
                    <w:pPr>
                      <w:pStyle w:val="Footer"/>
                      <w:spacing w:before="0"/>
                      <w:jc w:val="center"/>
                      <w:rPr>
                        <w:color w:val="auto"/>
                        <w:sz w:val="16"/>
                        <w:szCs w:val="20"/>
                      </w:rPr>
                    </w:pPr>
                    <w:r w:rsidRPr="00FF0F19">
                      <w:rPr>
                        <w:color w:val="auto"/>
                        <w:sz w:val="16"/>
                      </w:rPr>
                      <w:fldChar w:fldCharType="begin"/>
                    </w:r>
                    <w:r w:rsidRPr="00FF0F19">
                      <w:rPr>
                        <w:color w:val="auto"/>
                        <w:sz w:val="16"/>
                      </w:rPr>
                      <w:instrText xml:space="preserve"> PAGE    \* MERGEFORMAT </w:instrText>
                    </w:r>
                    <w:r w:rsidRPr="00FF0F19">
                      <w:rPr>
                        <w:color w:val="auto"/>
                        <w:sz w:val="16"/>
                      </w:rPr>
                      <w:fldChar w:fldCharType="separate"/>
                    </w:r>
                    <w:r w:rsidRPr="00453736">
                      <w:rPr>
                        <w:noProof/>
                        <w:color w:val="auto"/>
                        <w:sz w:val="16"/>
                        <w:szCs w:val="20"/>
                      </w:rPr>
                      <w:t>3</w:t>
                    </w:r>
                    <w:r w:rsidRPr="00FF0F19">
                      <w:rPr>
                        <w:noProof/>
                        <w:color w:val="auto"/>
                        <w:sz w:val="16"/>
                        <w:szCs w:val="20"/>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9CC8" w14:textId="77777777" w:rsidR="0006043B" w:rsidRDefault="0006043B" w:rsidP="00544EF6">
      <w:pPr>
        <w:spacing w:before="0"/>
      </w:pPr>
      <w:r>
        <w:separator/>
      </w:r>
    </w:p>
  </w:footnote>
  <w:footnote w:type="continuationSeparator" w:id="0">
    <w:p w14:paraId="7F6E9BDB" w14:textId="77777777" w:rsidR="0006043B" w:rsidRDefault="0006043B" w:rsidP="00544EF6">
      <w:pPr>
        <w:spacing w:before="0"/>
      </w:pPr>
      <w:r>
        <w:continuationSeparator/>
      </w:r>
    </w:p>
  </w:footnote>
  <w:footnote w:type="continuationNotice" w:id="1">
    <w:p w14:paraId="213020A1" w14:textId="77777777" w:rsidR="0006043B" w:rsidRDefault="0006043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73A"/>
    <w:rsid w:val="00FB4916"/>
    <w:rsid w:val="00FB4DE7"/>
    <w:rsid w:val="00FB5341"/>
    <w:rsid w:val="00FB5BA7"/>
    <w:rsid w:val="00FB5FF9"/>
    <w:rsid w:val="00FB693A"/>
    <w:rsid w:val="00FB7AAE"/>
    <w:rsid w:val="00FB7ED0"/>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999482-4649-45BF-90DA-16C7E81B377E}">
  <ds:schemaRefs>
    <ds:schemaRef ds:uri="http://schemas.microsoft.com/sharepoint/v3/contenttype/forms"/>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7</Pages>
  <Words>306</Words>
  <Characters>1827</Characters>
  <Application>Microsoft Office Word</Application>
  <DocSecurity>0</DocSecurity>
  <Lines>130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2105</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3</cp:revision>
  <cp:lastPrinted>2023-12-28T22:54:00Z</cp:lastPrinted>
  <dcterms:created xsi:type="dcterms:W3CDTF">2025-05-29T11:44:00Z</dcterms:created>
  <dcterms:modified xsi:type="dcterms:W3CDTF">2025-05-29T11:47:00Z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