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6873318A" w:rsidR="003C0082" w:rsidRPr="00122674" w:rsidRDefault="00171346" w:rsidP="00D94007">
      <w:pPr>
        <w:jc w:val="left"/>
        <w:rPr>
          <w:rFonts w:ascii="Georgia" w:hAnsi="Georgia" w:cstheme="majorHAnsi"/>
          <w:sz w:val="68"/>
          <w:szCs w:val="68"/>
        </w:rPr>
      </w:pPr>
      <w:r>
        <w:t>ANALISIS REGULATORIO Resolución SBS nº 04305-2024</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21/07/2025</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A562E5" w:rsidRDefault="007D582F" w:rsidP="007D088C">
      <w:pPr>
        <w:pStyle w:val="Heading1"/>
        <w:rPr>
          <w:b/>
          <w:bCs w:val="0"/>
          <w:lang w:val="en-US"/>
        </w:rPr>
      </w:pPr>
      <w:bookmarkStart w:id="0" w:name="_Toc192706033"/>
      <w:r w:rsidRPr="00A562E5">
        <w:rPr>
          <w:b/>
          <w:bCs w:val="0"/>
          <w:lang w:val="en-US"/>
        </w:rPr>
        <w:lastRenderedPageBreak/>
        <w:t>Context</w:t>
      </w:r>
      <w:r w:rsidR="001F5749" w:rsidRPr="00A562E5">
        <w:rPr>
          <w:b/>
          <w:bCs w:val="0"/>
          <w:lang w:val="en-US"/>
        </w:rPr>
        <w:t>o</w:t>
      </w:r>
      <w:bookmarkEnd w:id="0"/>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Pr="00A562E5" w:rsidRDefault="00171346" w:rsidP="003C0082">
      <w:pPr>
        <w:pStyle w:val="Heading1"/>
        <w:rPr>
          <w:b/>
          <w:bCs w:val="0"/>
          <w:color w:val="1A3B47"/>
          <w:lang w:val="en-US"/>
        </w:rPr>
      </w:pPr>
      <w:r w:rsidRPr="00A562E5">
        <w:rPr>
          <w:b/>
          <w:bCs w:val="0"/>
          <w:color w:val="1A3B47"/>
          <w:lang w:val="en-US"/>
        </w:rPr>
        <w:lastRenderedPageBreak/>
        <w:t>Executive Summary</w:t>
      </w:r>
    </w:p>
    <w:p w14:paraId="5D4DF97B" w14:textId="49EF6184" w:rsidR="000825F4" w:rsidRDefault="000825F4" w:rsidP="003E54D5">
      <w:pPr>
        <w:jc w:val="left"/>
      </w:pPr>
      <w:r>
        <w:t>La Resolución SBS Nº 04305-2024 regula la identificación, control y reporte de grupos económicos, vinculaciones y límites operativos en empresas supervisadas, buscando fortalecer la transparencia y gestión de riesgos en el sistema financiero.</w:t>
        <w:br/>
        <w:br/>
        <w:t>Tres hallazgos críticos: (1) El artículo 11 establece criterios estrictos para definir vinculados, abarcando propiedad, control e integración en grupos económicos; (2) el artículo 22 impone parámetros detallados para identificar interdependencia económica y contrapartes conectadas por riesgo único; (3) el artículo 19 exige la aplicación de estos criterios en el cálculo de límites de exposición a vinculados, reforzando el control de riesgos.</w:t>
        <w:br/>
        <w:br/>
        <w:t>Operacionalmente, la norma obliga a reportes periódicos y detallados, y otorga a la Superintendencia amplias facultades de investigación y supervisión. Esto incrementa la exigencia de cumplimiento y control interno, asegurando mayor transparencia y solidez en la gestión de riesgos de las entidades financieras.</w:t>
      </w:r>
    </w:p>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A562E5" w:rsidRDefault="00171346" w:rsidP="00544EF6">
      <w:pPr>
        <w:pStyle w:val="Heading1"/>
        <w:rPr>
          <w:b/>
          <w:bCs w:val="0"/>
        </w:rPr>
      </w:pPr>
      <w:bookmarkStart w:id="6" w:name="_Toc288670314"/>
      <w:bookmarkStart w:id="7" w:name="_Toc288670795"/>
      <w:bookmarkEnd w:id="4"/>
      <w:bookmarkEnd w:id="5"/>
      <w:r w:rsidRPr="00A562E5">
        <w:rPr>
          <w:b/>
          <w:bCs w:val="0"/>
          <w:color w:val="1A3B47"/>
        </w:rPr>
        <w:lastRenderedPageBreak/>
        <w:t>Alcance</w:t>
      </w:r>
    </w:p>
    <w:bookmarkEnd w:id="6"/>
    <w:bookmarkEnd w:id="7"/>
    <w:p w14:paraId="0EF53F34" w14:textId="284C3DFA" w:rsidR="000825F4" w:rsidRDefault="000825F4" w:rsidP="00592702">
      <w:pPr>
        <w:spacing w:before="100" w:beforeAutospacing="1" w:after="100" w:afterAutospacing="1"/>
        <w:jc w:val="left"/>
      </w:pPr>
      <w:r>
        <w:t>1. Normativas y artículos ESPECÍFICOS analizados</w:t>
        <w:br/>
        <w:br/>
        <w:t>El análisis se ha realizado exclusivamente sobre la Resolución SBS Nº 04305-2024, considerando los siguientes artículos y secciones específicas de la norma:</w:t>
        <w:br/>
        <w:br/>
        <w:t>Artículo 1: Alcance</w:t>
        <w:br/>
        <w:br/>
        <w:t>Artículo 2: Definiciones</w:t>
        <w:br/>
        <w:br/>
        <w:t>Artículo 11: Criterios para definir vinculados a la empresa</w:t>
        <w:br/>
        <w:br/>
        <w:t>Artículo 19: Aplicación del límite del artículo 202 de la Ley General</w:t>
        <w:br/>
        <w:br/>
        <w:t>Artículo 22: Criterios para definir interdependencia económica</w:t>
        <w:br/>
        <w:br/>
        <w:t>Artículo 23: Criterios para el cálculo de los límites referidos en el artículo 204 de la Ley General</w:t>
        <w:br/>
        <w:br/>
        <w:t>Artículo 31: Información sobre grupos económicos de las empresas supervisadas</w:t>
        <w:br/>
        <w:br/>
        <w:t>Artículo 33: Información sobre clientes</w:t>
        <w:br/>
        <w:br/>
        <w:t>Artículo 34: Reporte sobre financiamiento a vinculados de la empresa</w:t>
        <w:br/>
        <w:br/>
        <w:t>Artículo 36: Investigación sobre vinculación y/o grupos económicos</w:t>
        <w:br/>
        <w:br/>
        <w:t>Se han considerado también los análisis y descripciones normativas contenidas en la documentación proporcionada, sin incorporar artículos o disposiciones ajenas a la Resolución SBS Nº 04305-2024.</w:t>
        <w:br/>
        <w:br/>
        <w:t>2. Áreas organizacionales afectadas según la documentación</w:t>
        <w:br/>
        <w:br/>
        <w:t>De acuerdo con el artículo 1 y el análisis normativo, el alcance afecta a las siguientes áreas organizacionales:</w:t>
        <w:br/>
        <w:br/>
        <w:t>Empresas comprendidas en los literales A, B y C del artículo 16 de la Ley General del Sistema Financiero</w:t>
        <w:br/>
        <w:br/>
        <w:t>Corporación Financiera de Desarrollo (Cofide)</w:t>
        <w:br/>
        <w:br/>
        <w:t>Banco de la Nación</w:t>
        <w:br/>
        <w:br/>
        <w:t>Banco Agropecuario (Agrobanco)</w:t>
        <w:br/>
        <w:br/>
        <w:t>Fondo Mivivienda S.A.</w:t>
        <w:br/>
        <w:br/>
        <w:t>Estas entidades, en su calidad de empresas supervisadas, están sujetas a las obligaciones de identificación, reporte, control de límites operativos y cumplimiento de los criterios de vinculación y grupos económicos establecidos en la Resolución.</w:t>
        <w:br/>
        <w:br/>
        <w:t>3. Período temporal cubierto por el análisis</w:t>
        <w:br/>
        <w:br/>
        <w:t>El análisis cubre la Resolución SBS Nº 04305-2024 en su versión vigente al momento de la consulta, sin referencia a versiones anteriores ni a modificaciones posteriores. No se han considerado periodos previos a la entrada en vigencia de la Resolución ni proyecciones futuras fuera del marco normativo actual.</w:t>
        <w:br/>
        <w:br/>
        <w:t>4. Limitaciones del análisis (qué NO se incluye)</w:t>
        <w:br/>
        <w:br/>
        <w:t>No se han analizado normas distintas a la Resolución SBS Nº 04305-2024.</w:t>
        <w:br/>
        <w:br/>
        <w:t>No se han considerado interpretaciones doctrinarias, jurisprudenciales ni criterios de aplicación no expresamente contenidos en la documentación proporcionada.</w:t>
        <w:br/>
        <w:br/>
        <w:t>No se incluyen aspectos operativos, tecnológicos o de implementación interna de las entidades, salvo lo expresamente regulado en los artículos citados.</w:t>
        <w:br/>
        <w:br/>
        <w:t>No se abordan temas de sanciones, procedimientos administrativos ni aspectos de supervisión distintos a los expresamente mencionados en la Resolución.</w:t>
        <w:br/>
        <w:br/>
        <w:t>No se incorpora información sobre versiones anteriores o futuras de la norma, ni sobre otras resoluciones de la SBS o de otras autoridades.</w:t>
        <w:br/>
        <w:br/>
        <w:t>5. Metodología de revisión utilizada</w:t>
        <w:br/>
        <w:br/>
        <w:t>La revisión se ha realizado mediante el análisis directo y exclusivo del texto normativo de la Resolución SBS Nº 04305-2024, identificando y citando los artículos y disposiciones relevantes según la estructura temática solicitada. Se ha seguido un enfoque de lectura sistemática, extracción de criterios normativos y delimitación del alcance conforme a los artículos y definiciones expresamente contenidos en la documentación proporcionada, sin extrapolaciones ni adiciones externas.</w:t>
      </w:r>
    </w:p>
    <w:p w14:paraId="1004F509" w14:textId="77777777" w:rsidR="003B5572" w:rsidRDefault="003B5572" w:rsidP="00592702">
      <w:pPr>
        <w:spacing w:before="0" w:after="200" w:line="276" w:lineRule="auto"/>
        <w:jc w:val="left"/>
      </w:pPr>
    </w:p>
    <w:p w14:paraId="0B27BD34" w14:textId="0E922306" w:rsidR="003B5572" w:rsidRDefault="003B5572" w:rsidP="00592702">
      <w:pPr>
        <w:spacing w:before="0" w:after="200" w:line="276" w:lineRule="auto"/>
        <w:jc w:val="left"/>
      </w:pPr>
      <w:r>
        <w:br w:type="page"/>
      </w:r>
    </w:p>
    <w:p w14:paraId="7F2CB819" w14:textId="4AEBB697" w:rsidR="003C0082" w:rsidRPr="00A562E5" w:rsidRDefault="00171346" w:rsidP="003C0082">
      <w:pPr>
        <w:pStyle w:val="Heading1"/>
        <w:rPr>
          <w:b/>
          <w:bCs w:val="0"/>
          <w:color w:val="1A3B47"/>
          <w:lang w:val="en-US"/>
        </w:rPr>
      </w:pPr>
      <w:r w:rsidRPr="00A562E5">
        <w:rPr>
          <w:b/>
          <w:bCs w:val="0"/>
          <w:color w:val="1A3B47"/>
          <w:lang w:val="en-US"/>
        </w:rPr>
        <w:lastRenderedPageBreak/>
        <w:t>Findings</w:t>
      </w:r>
    </w:p>
    <w:p w14:paraId="609049F2" w14:textId="0AC286A5" w:rsidR="000825F4" w:rsidRDefault="000825F4" w:rsidP="00592702">
      <w:pPr>
        <w:jc w:val="left"/>
      </w:pPr>
      <w:r>
        <w:t>CRÍTICOS (Impacto Alto/Inmediato):</w:t>
        <w:br/>
        <w:br/>
        <w:t>Artículo 31: Remisión obligatoria de Reporte Nº 19 sobre grupos económicos antes del 15 de enero y 15 de julio de cada año - Impacto: El incumplimiento de este plazo puede generar sanciones regulatorias y afecta la transparencia sobre la estructura de grupos económicos ante la Superintendencia - Plazo: Dos veces al año, antes del 15 de enero y 15 de julio.</w:t>
        <w:br/>
        <w:br/>
        <w:t>Artículo 19: Aplicación de límites al total de financiamientos a vinculados conforme al artículo 202 de la Ley General, utilizando los criterios del artículo 11 - Impacto: Exceder estos límites puede resultar en sanciones inmediatas y restricciones operativas para la empresa - Plazo: Permanente, con verificación continua.</w:t>
        <w:br/>
        <w:br/>
        <w:t>IMPORTANTES (Impacto Medio/Seguimiento):</w:t>
        <w:br/>
        <w:br/>
        <w:t>Artículo 33: Remisión del Reporte Nº 20 sobre clientes dentro de los quince (15) días calendario posteriores al cierre de cada trimestre - Implicación: Permite a la Superintendencia monitorear la concentración de riesgos y la exposición a clientes relevantes, requiriendo procesos internos de reporte oportunos.</w:t>
        <w:br/>
        <w:br/>
        <w:t>Artículo 36: Facultad de la Superintendencia para investigar de oficio o a instancia de parte la existencia de grupos económicos, vinculaciones o contrapartes conectadas - Implicación: Las empresas deben mantener documentación y registros actualizados, ya que pueden ser requeridos en cualquier momento para sustentar su situación ante la autoridad.</w:t>
        <w:br/>
        <w:br/>
        <w:t>INFORMATIVOS (Conocimiento General):</w:t>
        <w:br/>
        <w:br/>
        <w:t>Artículo 2: Definición de entes jurídicos, incluyendo patrimonios autónomos y contratos asociativos sin personalidad jurídica - Relevancia: Es fundamental para identificar correctamente sujetos obligados y evitar omisiones en la aplicación de los límites y reportes.</w:t>
        <w:br/>
        <w:br/>
        <w:t>Artículo 22: Criterios para determinar interdependencia económica y conformación de grupos de contrapartes conectadas - Relevancia: Permite a las empresas identificar exposiciones agregadas por riesgo único, lo que es clave para la gestión de riesgos y cumplimiento normativo.</w:t>
        <w:br/>
        <w:br/>
        <w:t>BRECHAS IDENTIFICADAS:</w:t>
        <w:br/>
        <w:br/>
        <w:t>No se detalla en la documentación el contenido específico de los Reportes Nº 19, 20 y 21, lo que puede dificultar la preparación adecuada de la información requerida.</w:t>
        <w:br/>
        <w:br/>
        <w:t>No se especifican los procedimientos de validación o mecanismos de defensa ante la determinación de vinculación o interdependencia económica por parte de la Superintendencia, lo que puede generar incertidumbre en la aplicación práctica de la norma.</w:t>
      </w:r>
    </w:p>
    <w:p w14:paraId="553223F8" w14:textId="77777777" w:rsidR="003E54D5" w:rsidRDefault="003E54D5" w:rsidP="00592702">
      <w:pPr>
        <w:spacing w:before="0" w:after="200" w:line="276" w:lineRule="auto"/>
        <w:jc w:val="left"/>
        <w:rPr>
          <w:b/>
          <w:bCs/>
        </w:rPr>
      </w:pPr>
    </w:p>
    <w:p w14:paraId="192E3F5D" w14:textId="7093F22B" w:rsidR="003E54D5" w:rsidRDefault="003E54D5" w:rsidP="00592702">
      <w:pPr>
        <w:spacing w:before="0" w:after="200" w:line="276" w:lineRule="auto"/>
        <w:jc w:val="left"/>
        <w:rPr>
          <w:b/>
          <w:bCs/>
        </w:rPr>
      </w:pPr>
      <w:r>
        <w:rPr>
          <w:b/>
          <w:bCs/>
        </w:rPr>
        <w:br w:type="page"/>
      </w:r>
    </w:p>
    <w:p w14:paraId="6B284056" w14:textId="28BF6455" w:rsidR="00057377" w:rsidRPr="00A562E5" w:rsidRDefault="00057377" w:rsidP="00057377">
      <w:pPr>
        <w:pStyle w:val="Heading1"/>
        <w:rPr>
          <w:b/>
          <w:bCs w:val="0"/>
          <w:color w:val="1A3B47"/>
          <w:lang w:val="en-US"/>
        </w:rPr>
      </w:pPr>
      <w:bookmarkStart w:id="8" w:name="_Toc192706037"/>
      <w:r w:rsidRPr="00A562E5">
        <w:rPr>
          <w:b/>
          <w:bCs w:val="0"/>
          <w:color w:val="1A3B47"/>
          <w:lang w:val="en-US"/>
        </w:rPr>
        <w:lastRenderedPageBreak/>
        <w:t>Conclusiones y recomendaciones</w:t>
      </w:r>
      <w:bookmarkEnd w:id="8"/>
    </w:p>
    <w:p w14:paraId="497AA737" w14:textId="6527149A" w:rsidR="00057377" w:rsidRPr="00057377" w:rsidRDefault="000825F4" w:rsidP="003E54D5">
      <w:pPr>
        <w:spacing w:before="0" w:after="200" w:line="276" w:lineRule="auto"/>
        <w:jc w:val="left"/>
      </w:pPr>
      <w:r>
        <w:t>ACCIONES INMEDIATAS (0-30 días):</w:t>
        <w:br/>
        <w:br/>
        <w:t>1. Identificación y actualización de la lista de vinculados y grupos económicos conforme a los criterios de los artículos 11 y 12 - Responsable sugerido: Área de Cumplimiento Normativo - Entregable: Matriz actualizada de vinculados y grupos económicos, con documentación de soporte para cada caso.</w:t>
        <w:br/>
        <w:t>2. Revisión y adecuación de los procesos de reporte para cumplir con los plazos y formatos de los Reportes Nº 19, 20 y 21 según los artículos 31, 33 y 34 - Responsable sugerido: Área de Reportes Regulatorios - Entregable: Procedimiento interno revisado y cronograma de entregas alineado a los plazos normativos.</w:t>
        <w:br/>
        <w:br/>
        <w:t>IMPLEMENTACIÓN MEDIANO PLAZO (1-6 meses):</w:t>
        <w:br/>
        <w:br/>
        <w:t>1. Desarrollo de un sistema automatizado para la identificación de interdependencia económica y contrapartes conectadas, aplicando los criterios del artículo 22 - Recursos estimados: 2 analistas de sistemas y 1 especialista normativo durante 3 meses - Resultado esperado: Sistema funcional que genere alertas automáticas y reportes de contrapartes conectadas, con una tasa de error inferior al 5%.</w:t>
        <w:br/>
        <w:t>2. Revisión integral de los límites operativos y exposición a vinculados y grupos económicos, conforme a los artículos 19 y 23, con simulaciones periódicas - Inversión requerida: 1 consultor externo y 1 analista interno durante 2 meses - Beneficio: Reducción del riesgo de incumplimiento de límites regulatorios y potenciales sanciones, con reportes de simulación trimestrales.</w:t>
        <w:br/>
        <w:br/>
        <w:t>MONITOREO CONTINUO:</w:t>
        <w:br/>
        <w:br/>
        <w:t>1. KPI específico a monitorear: Cumplimiento en tiempo y forma de los Reportes Nº 19, 20 y 21 (artículos 31, 33 y 34) - Frecuencia: Trimestral - Responsable: Área de Cumplimiento Normativo.</w:t>
        <w:br/>
        <w:t>2. Control a implementar: Revisión automatizada de nuevas relaciones de propiedad, influencia o control que puedan generar vinculación o interdependencia económica (artículos 11 y 22) - Automatización: Sí - Alerta: Generación automática de alerta ante cualquier cambio en la estructura accionarial o contractual reportada.</w:t>
        <w:br/>
        <w:br/>
        <w:t>Todas las recomendaciones están alineadas con los artículos y hallazgos específicos de la Resolución SBS Nº 04305-2024 y priorizan el cumplimiento regulatorio inmediato, la reducción de riesgos de sanción y la eficiencia operativa en la gestión de la información requerida por la Superintendencia.</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BB6D" w14:textId="77777777" w:rsidR="00FB312B" w:rsidRDefault="00FB312B" w:rsidP="00544EF6">
      <w:pPr>
        <w:spacing w:before="0"/>
      </w:pPr>
      <w:r>
        <w:separator/>
      </w:r>
    </w:p>
  </w:endnote>
  <w:endnote w:type="continuationSeparator" w:id="0">
    <w:p w14:paraId="6653DC70" w14:textId="77777777" w:rsidR="00FB312B" w:rsidRDefault="00FB312B" w:rsidP="00544EF6">
      <w:pPr>
        <w:spacing w:before="0"/>
      </w:pPr>
      <w:r>
        <w:continuationSeparator/>
      </w:r>
    </w:p>
  </w:endnote>
  <w:endnote w:type="continuationNotice" w:id="1">
    <w:p w14:paraId="44A6EF80" w14:textId="77777777" w:rsidR="00FB312B" w:rsidRDefault="00FB312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8697"/>
      <w:docPartObj>
        <w:docPartGallery w:val="Page Numbers (Bottom of Page)"/>
        <w:docPartUnique/>
      </w:docPartObj>
    </w:sdtPr>
    <w:sdtContent>
      <w:p w14:paraId="42CD3D7B" w14:textId="662F0FE1" w:rsidR="00A562E5" w:rsidRDefault="00A562E5">
        <w:pPr>
          <w:pStyle w:val="Footer"/>
          <w:jc w:val="right"/>
        </w:pPr>
        <w:r>
          <w:fldChar w:fldCharType="begin"/>
        </w:r>
        <w:r>
          <w:instrText>PAGE   \* MERGEFORMAT</w:instrText>
        </w:r>
        <w:r>
          <w:fldChar w:fldCharType="separate"/>
        </w:r>
        <w:r>
          <w:t>2</w:t>
        </w:r>
        <w:r>
          <w:fldChar w:fldCharType="end"/>
        </w:r>
      </w:p>
    </w:sdtContent>
  </w:sdt>
  <w:p w14:paraId="2A4C565B" w14:textId="7511B157" w:rsidR="00F27B50" w:rsidRDefault="00F2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78E5" w14:textId="77777777" w:rsidR="00FB312B" w:rsidRDefault="00FB312B" w:rsidP="00544EF6">
      <w:pPr>
        <w:spacing w:before="0"/>
      </w:pPr>
      <w:r>
        <w:separator/>
      </w:r>
    </w:p>
  </w:footnote>
  <w:footnote w:type="continuationSeparator" w:id="0">
    <w:p w14:paraId="52E1BF88" w14:textId="77777777" w:rsidR="00FB312B" w:rsidRDefault="00FB312B" w:rsidP="00544EF6">
      <w:pPr>
        <w:spacing w:before="0"/>
      </w:pPr>
      <w:r>
        <w:continuationSeparator/>
      </w:r>
    </w:p>
  </w:footnote>
  <w:footnote w:type="continuationNotice" w:id="1">
    <w:p w14:paraId="22523264" w14:textId="77777777" w:rsidR="00FB312B" w:rsidRDefault="00FB312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5F4"/>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5D41"/>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2FB5"/>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54D5"/>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B5F"/>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702"/>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7D4"/>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218"/>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2439"/>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B6E"/>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562E5"/>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6A1E"/>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5A72"/>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2B6"/>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12B"/>
    <w:rsid w:val="00FB373A"/>
    <w:rsid w:val="00FB4916"/>
    <w:rsid w:val="00FB4DE7"/>
    <w:rsid w:val="00FB5341"/>
    <w:rsid w:val="00FB5BA7"/>
    <w:rsid w:val="00FB5FF9"/>
    <w:rsid w:val="00FB693A"/>
    <w:rsid w:val="00FB7AAE"/>
    <w:rsid w:val="00FB7ED0"/>
    <w:rsid w:val="00FC0209"/>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99482-4649-45BF-90DA-16C7E81B377E}">
  <ds:schemaRefs>
    <ds:schemaRef ds:uri="http://schemas.microsoft.com/sharepoint/v3/contenttype/forms"/>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8</Pages>
  <Words>292</Words>
  <Characters>1818</Characters>
  <Application>Microsoft Office Word</Application>
  <DocSecurity>0</DocSecurity>
  <Lines>90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2081</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8</cp:revision>
  <cp:lastPrinted>2023-12-28T22:54:00Z</cp:lastPrinted>
  <dcterms:created xsi:type="dcterms:W3CDTF">2025-05-29T11:44:00Z</dcterms:created>
  <dcterms:modified xsi:type="dcterms:W3CDTF">2025-06-16T23:29:00Z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