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55555"/>
          <w:sz w:val="22"/>
          <w:szCs w:val="22"/>
        </w:rPr>
        <w:t xml:space="preserve">PÉLDA KFT.</w:t>
      </w:r>
    </w:p>
    <w:p>
      <w:pPr>
        <w:pStyle w:val="Title"/>
      </w:pPr>
      <w:r>
        <w:t xml:space="preserve">Szervezeti és Működési Szabályzat</w:t>
      </w:r>
    </w:p>
    <w:p>
      <w:pPr>
        <w:spacing w:after="40"/>
      </w:pPr>
      <w:r>
        <w:rPr>
          <w:b/>
          <w:bCs/>
        </w:rPr>
        <w:t xml:space="preserve">Dokumentumazonosító: </w:t>
      </w:r>
      <w:r>
        <w:t xml:space="preserve">PK-SZ-001</w:t>
      </w:r>
    </w:p>
    <w:p>
      <w:pPr>
        <w:spacing w:after="40"/>
      </w:pPr>
      <w:r>
        <w:rPr>
          <w:b/>
          <w:bCs/>
        </w:rPr>
        <w:t xml:space="preserve">Verzió: </w:t>
      </w:r>
      <w:r>
        <w:t xml:space="preserve">2.1</w:t>
      </w:r>
    </w:p>
    <w:p>
      <w:pPr>
        <w:spacing w:after="40"/>
      </w:pPr>
      <w:r>
        <w:rPr>
          <w:b/>
          <w:bCs/>
        </w:rPr>
        <w:t xml:space="preserve">Hatályos: </w:t>
      </w:r>
      <w:r>
        <w:t xml:space="preserve">2026. január 1.</w:t>
      </w:r>
    </w:p>
    <w:p>
      <w:pPr>
        <w:spacing w:after="40"/>
      </w:pPr>
      <w:r>
        <w:rPr>
          <w:b/>
          <w:bCs/>
        </w:rPr>
        <w:t xml:space="preserve">Adatminősítés: </w:t>
      </w:r>
      <w:r>
        <w:t xml:space="preserve">Belső</w:t>
      </w:r>
    </w:p>
    <w:p>
      <w:pPr>
        <w:pBdr>
          <w:bottom w:val="single" w:color="999999" w:sz="6" w:space="4"/>
        </w:pBdr>
        <w:spacing w:after="240"/>
      </w:pPr>
      <w:r>
        <w:rPr>
          <w:b/>
          <w:bCs/>
        </w:rPr>
        <w:t xml:space="preserve">Hozzáférés: </w:t>
      </w:r>
      <w:r>
        <w:t xml:space="preserve">A társaság valamennyi munkavállalója</w:t>
      </w:r>
    </w:p>
    <w:p>
      <w:pPr>
        <w:pStyle w:val="Heading1"/>
      </w:pPr>
      <w:r>
        <w:t xml:space="preserve">1. Általános rendelkezések</w:t>
      </w:r>
    </w:p>
    <w:p>
      <w:pPr>
        <w:pStyle w:val="Heading2"/>
      </w:pPr>
      <w:r>
        <w:t xml:space="preserve">1.1 A szabályzat célja</w:t>
      </w:r>
    </w:p>
    <w:p>
      <w:pPr>
        <w:spacing w:after="120"/>
      </w:pPr>
      <w:r>
        <w:t xml:space="preserve">A Szervezeti és Működési Szabályzat (a továbbiakban: SZMSZ) meghatározza a Példa Kft. (a továbbiakban: Társaság) szervezeti felépítését, a vezetők és a szervezeti egységek feladat- és hatáskörét, valamint a Társaság működésének alapvető szabályait.</w:t>
      </w:r>
    </w:p>
    <w:p>
      <w:pPr>
        <w:pStyle w:val="Heading2"/>
      </w:pPr>
      <w:r>
        <w:t xml:space="preserve">1.2 A szabályzat hatálya</w:t>
      </w:r>
    </w:p>
    <w:p>
      <w:pPr>
        <w:spacing w:after="120"/>
      </w:pPr>
      <w:r>
        <w:t xml:space="preserve">Az SZMSZ hatálya kiterjed a Társaság valamennyi munkavállalójára, valamint a megbízási jogviszonyban foglalkoztatott személyekre a megbízási szerződésükben rögzített mértékben.</w:t>
      </w:r>
    </w:p>
    <w:p>
      <w:pPr>
        <w:pStyle w:val="Heading2"/>
      </w:pPr>
      <w:r>
        <w:t xml:space="preserve">1.3 A Társaság adatai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Cégnév: Példa Kft.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Székhely: 9999 Példafalva, Minta utca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Fő tevékenység: egyedi szoftverfejlesztés és informatikai üzemeltetési szolgáltatások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Foglalkoztatottak száma: körülbelül 120 fő</w:t>
      </w:r>
    </w:p>
    <w:p>
      <w:pPr>
        <w:pStyle w:val="Heading1"/>
      </w:pPr>
      <w:r>
        <w:t xml:space="preserve">2. A Társaság szervezeti felépítése</w:t>
      </w:r>
    </w:p>
    <w:p>
      <w:pPr>
        <w:pStyle w:val="Heading2"/>
      </w:pPr>
      <w:r>
        <w:t xml:space="preserve">2.1 Vezetési szint</w:t>
      </w:r>
    </w:p>
    <w:p>
      <w:pPr>
        <w:spacing w:after="120"/>
      </w:pPr>
      <w:r>
        <w:t xml:space="preserve">A Társaság első számú vezetője az ügyvezető igazgató. Közvetlenül az ügyvezető irányítása alá tartozik a gazdasági igazgató, a technológiai igazgató (CTO) és a HR-vezető.</w:t>
      </w:r>
    </w:p>
    <w:p>
      <w:pPr>
        <w:pStyle w:val="Heading2"/>
      </w:pPr>
      <w:r>
        <w:t xml:space="preserve">2.2 Szervezeti egységek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Fejlesztési Osztály – a technológiai igazgató irányítása alatt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Üzemeltetési Osztály – a technológiai igazgató irányítása alatt, közvetlen vezetője az IT vezető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Pénzügyi és Számviteli Osztály – a gazdasági igazgató irányítása alatt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Emberi Erőforrás Osztály – a HR-vezető irányítása alatt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Értékesítési és Ügyfélkapcsolati Osztály – közvetlenül az ügyvezető irányítása alatt</w:t>
      </w:r>
    </w:p>
    <w:p>
      <w:pPr>
        <w:pStyle w:val="Heading1"/>
      </w:pPr>
      <w:r>
        <w:t xml:space="preserve">3. A vezetők feladat- és hatásköre</w:t>
      </w:r>
    </w:p>
    <w:p>
      <w:pPr>
        <w:pStyle w:val="Heading2"/>
      </w:pPr>
      <w:r>
        <w:t xml:space="preserve">3.1 Ügyvezető igazgató</w:t>
      </w:r>
    </w:p>
    <w:p>
      <w:pPr>
        <w:spacing w:after="120"/>
      </w:pPr>
      <w:r>
        <w:t xml:space="preserve">Az ügyvezető képviseli a Társaságot, meghatározza a Társaság stratégiáját, gyakorolja a munkáltatói jogokat az igazgatók és a HR-vezető felett, valamint jóváhagyja a Társaság szabályzatait.</w:t>
      </w:r>
    </w:p>
    <w:p>
      <w:pPr>
        <w:pStyle w:val="Heading2"/>
      </w:pPr>
      <w:r>
        <w:t xml:space="preserve">3.2 Gazdasági igazgató</w:t>
      </w:r>
    </w:p>
    <w:p>
      <w:pPr>
        <w:spacing w:after="120"/>
      </w:pPr>
      <w:r>
        <w:t xml:space="preserve">A gazdasági igazgató felel a pénzügyi tervezésért, a költségvetés végrehajtásáért és a számviteli rendért. Az ügyvezető távollétében ellátja annak helyettesítését.</w:t>
      </w:r>
    </w:p>
    <w:p>
      <w:pPr>
        <w:pStyle w:val="Heading2"/>
      </w:pPr>
      <w:r>
        <w:t xml:space="preserve">3.3 Technológiai igazgató (CTO)</w:t>
      </w:r>
    </w:p>
    <w:p>
      <w:pPr>
        <w:spacing w:after="120"/>
      </w:pPr>
      <w:r>
        <w:t xml:space="preserve">A technológiai igazgató meghatározza a Társaság technológiai irányelveit, irányítja a Fejlesztési Osztály és az IT Üzemeltetési Osztály munkáját, és felel a szoftvertermékek minőségéért.</w:t>
      </w:r>
    </w:p>
    <w:p>
      <w:pPr>
        <w:pStyle w:val="Heading2"/>
      </w:pPr>
      <w:r>
        <w:t xml:space="preserve">3.4 HR-vezető</w:t>
      </w:r>
    </w:p>
    <w:p>
      <w:pPr>
        <w:spacing w:after="120"/>
      </w:pPr>
      <w:r>
        <w:t xml:space="preserve">A HR-vezető felel a toborzásért, a munkaügyi nyilvántartásokért, a képzési tervért és a teljesítményértékelési folyamat lebonyolításáért.</w:t>
      </w:r>
    </w:p>
    <w:p>
      <w:pPr>
        <w:pStyle w:val="Heading2"/>
      </w:pPr>
      <w:r>
        <w:t xml:space="preserve">3.5 Osztályvezetők</w:t>
      </w:r>
    </w:p>
    <w:p>
      <w:pPr>
        <w:spacing w:after="120"/>
      </w:pPr>
      <w:r>
        <w:t xml:space="preserve">Az osztályvezetők irányítják és ellenőrzik az osztályuk munkáját, gyakorolják a beosztott munkavállalók feletti munkáltatói jogokat (a munkaviszony létesítése és megszüntetése kivételével), és jóváhagyják beosztottjaik szabadságát.</w:t>
      </w:r>
    </w:p>
    <w:p>
      <w:pPr>
        <w:pStyle w:val="Heading1"/>
      </w:pPr>
      <w:r>
        <w:t xml:space="preserve">4. Kiadmányozás és kötelezettségvállalás</w:t>
      </w:r>
    </w:p>
    <w:p>
      <w:pPr>
        <w:pStyle w:val="Heading2"/>
      </w:pPr>
      <w:r>
        <w:t xml:space="preserve">4.1 Cégjegyzési jog</w:t>
      </w:r>
    </w:p>
    <w:p>
      <w:pPr>
        <w:spacing w:after="120"/>
      </w:pPr>
      <w:r>
        <w:t xml:space="preserve">A Társaság nevében az ügyvezető önállóan, a gazdasági igazgató és a technológiai igazgató együttesen jogosult cégjegyzésre.</w:t>
      </w:r>
    </w:p>
    <w:p>
      <w:pPr>
        <w:pStyle w:val="Heading2"/>
      </w:pPr>
      <w:r>
        <w:t xml:space="preserve">4.2 Kötelezettségvállalási értékhatárok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Osztályvezető: nettó 500 000 Ft-ig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Igazgató (gazdasági igazgató, technológiai igazgató): nettó 5 000 000 Ft-ig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Ügyvezető: nettó 5 000 000 Ft felett</w:t>
      </w:r>
    </w:p>
    <w:p>
      <w:pPr>
        <w:pStyle w:val="Heading2"/>
      </w:pPr>
      <w:r>
        <w:t xml:space="preserve">4.3 Beszerzés</w:t>
      </w:r>
    </w:p>
    <w:p>
      <w:pPr>
        <w:spacing w:after="120"/>
      </w:pPr>
      <w:r>
        <w:t xml:space="preserve">Nettó 1 000 000 Ft feletti beszerzés esetén legalább három árajánlatot kell bekérni, és a döntést írásban kell indokolni.</w:t>
      </w:r>
    </w:p>
    <w:p>
      <w:pPr>
        <w:pStyle w:val="Heading1"/>
      </w:pPr>
      <w:r>
        <w:t xml:space="preserve">5. A helyettesítés rendje</w:t>
      </w:r>
    </w:p>
    <w:p>
      <w:pPr>
        <w:spacing w:after="120"/>
      </w:pPr>
      <w:r>
        <w:t xml:space="preserve">Az ügyvezetőt távollétében a gazdasági igazgató helyettesíti. Az osztályvezetőt az általa írásban kijelölt munkatárs helyettesíti. A helyettes a saját kötelezettségvállalási értékhatárát meghaladó kötelezettséget nem vállalhat.</w:t>
      </w:r>
    </w:p>
    <w:p>
      <w:pPr>
        <w:pStyle w:val="Heading1"/>
      </w:pPr>
      <w:r>
        <w:t xml:space="preserve">6. Munkarend és munkaidő</w:t>
      </w:r>
    </w:p>
    <w:p>
      <w:pPr>
        <w:pStyle w:val="Heading2"/>
      </w:pPr>
      <w:r>
        <w:t xml:space="preserve">6.1 Általános munkarend</w:t>
      </w:r>
    </w:p>
    <w:p>
      <w:pPr>
        <w:spacing w:after="120"/>
      </w:pPr>
      <w:r>
        <w:t xml:space="preserve">Az általános munkaidő heti 40 óra. A Társaságnál rugalmas munkaidő-beosztás van érvényben: a munkakezdés 7:30 és 9:30 között választható, a törzsidő 9:30-tól 15:00-ig tart, amely alatt a munkavállalónak elérhetőnek kell lennie.</w:t>
      </w:r>
    </w:p>
    <w:p>
      <w:pPr>
        <w:pStyle w:val="Heading2"/>
      </w:pPr>
      <w:r>
        <w:t xml:space="preserve">6.2 Távmunka</w:t>
      </w:r>
    </w:p>
    <w:p>
      <w:pPr>
        <w:spacing w:after="120"/>
      </w:pPr>
      <w:r>
        <w:t xml:space="preserve">Távmunka hetente legfeljebb 3 munkanapon végezhető, a közvetlen vezető előzetes jóváhagyásával. Távmunka során az Informatikai Biztonsági Szabályzat 6. fejezetében foglaltakat kell betartani.</w:t>
      </w:r>
    </w:p>
    <w:p>
      <w:pPr>
        <w:pStyle w:val="Heading2"/>
      </w:pPr>
      <w:r>
        <w:t xml:space="preserve">6.3 Szabadság</w:t>
      </w:r>
    </w:p>
    <w:p>
      <w:pPr>
        <w:spacing w:after="120"/>
      </w:pPr>
      <w:r>
        <w:t xml:space="preserve">A szabadság mértékét a Munka Törvénykönyve határozza meg: az alapszabadság 20 munkanap, amely az életkor és egyéb feltételek alapján pótszabadsággal egészül ki. A szabadságot legalább 5 munkanappal korábban kell igényelni a HR-rendszerben, és azt a közvetlen vezető hagyja jóvá.</w:t>
      </w:r>
    </w:p>
    <w:p>
      <w:pPr>
        <w:pStyle w:val="Heading2"/>
      </w:pPr>
      <w:r>
        <w:t xml:space="preserve">6.4 Betegség miatti távollét</w:t>
      </w:r>
    </w:p>
    <w:p>
      <w:pPr>
        <w:spacing w:after="120"/>
      </w:pPr>
      <w:r>
        <w:t xml:space="preserve">A betegség miatti távollétet a távollét első napján legkésőbb 10:00 óráig jelezni kell a közvetlen vezetőnek.</w:t>
      </w:r>
    </w:p>
    <w:p>
      <w:pPr>
        <w:pStyle w:val="Heading1"/>
      </w:pPr>
      <w:r>
        <w:t xml:space="preserve">7. Belső kommunikáció és értekezletek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Vezetői értekezlet: minden hétfőn 10:00 órától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Összmunkatársi tájékoztató: minden hónap első keddjén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szabályzatok aktuális változata a belső portálon érhető el</w:t>
      </w:r>
    </w:p>
    <w:p>
      <w:pPr>
        <w:pStyle w:val="Heading1"/>
      </w:pPr>
      <w:r>
        <w:t xml:space="preserve">8. Záró rendelkezések</w:t>
      </w:r>
    </w:p>
    <w:p>
      <w:pPr>
        <w:spacing w:after="120"/>
      </w:pPr>
      <w:r>
        <w:t xml:space="preserve">Jelen SZMSZ 2026. január 1-jén lép hatályba. Az SZMSZ-t évente felül kell vizsgálni. A szabályzat nyilvántartásáért az Emberi Erőforrás Osztály felel.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PK-SZ-001 v2.1 · Belső · Kitalált dokumentum, kizárólag demonstrációs célra ·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Szervezeti és Működési Szabályzat</dc:title>
  <dc:creator>Példa Kft. (fiktív)</dc:creator>
  <cp:lastModifiedBy>Un-named</cp:lastModifiedBy>
  <cp:revision>1</cp:revision>
  <dcterms:created xsi:type="dcterms:W3CDTF">2026-10-29T18:03:07.194Z</dcterms:created>
  <dcterms:modified xsi:type="dcterms:W3CDTF">2026-10-29T18:03:07.202Z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