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37062" w14:textId="77777777" w:rsidR="000F75BD" w:rsidRDefault="000F75BD" w:rsidP="000F75BD">
      <w:r>
        <w:t>NON-DISCLOSURE AGREEMENT</w:t>
      </w:r>
    </w:p>
    <w:p w14:paraId="00AB5984" w14:textId="77777777" w:rsidR="000F75BD" w:rsidRDefault="000F75BD" w:rsidP="000F75BD"/>
    <w:p w14:paraId="4895BE72" w14:textId="77777777" w:rsidR="000F75BD" w:rsidRDefault="000F75BD" w:rsidP="000F75BD">
      <w:r>
        <w:t>The receiving party shall not disclose confidential information</w:t>
      </w:r>
    </w:p>
    <w:p w14:paraId="33B7FCAC" w14:textId="77777777" w:rsidR="000F75BD" w:rsidRDefault="000F75BD" w:rsidP="000F75BD">
      <w:r>
        <w:t>to any third party without prior written consent.</w:t>
      </w:r>
    </w:p>
    <w:p w14:paraId="34652EF2" w14:textId="77777777" w:rsidR="000F75BD" w:rsidRDefault="000F75BD" w:rsidP="000F75BD"/>
    <w:p w14:paraId="28C6D94D" w14:textId="77777777" w:rsidR="000F75BD" w:rsidRDefault="000F75BD" w:rsidP="000F75BD">
      <w:r>
        <w:t>The confidentiality obligation shall remain effective for three years</w:t>
      </w:r>
    </w:p>
    <w:p w14:paraId="5651BDE0" w14:textId="6F8B1B36" w:rsidR="000F75BD" w:rsidRDefault="000F75BD" w:rsidP="000F75BD">
      <w:r>
        <w:t>after termination of this agreement.</w:t>
      </w:r>
    </w:p>
    <w:sectPr w:rsidR="000F7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5BD"/>
    <w:rsid w:val="000F75BD"/>
    <w:rsid w:val="009B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1F1A7"/>
  <w15:chartTrackingRefBased/>
  <w15:docId w15:val="{3E85B1EB-D5F9-49E0-876F-0EFD656EF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5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5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5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5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5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5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5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5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5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5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5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5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5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5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5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5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5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charan bukka</dc:creator>
  <cp:keywords/>
  <dc:description/>
  <cp:lastModifiedBy>sri charan bukka</cp:lastModifiedBy>
  <cp:revision>1</cp:revision>
  <dcterms:created xsi:type="dcterms:W3CDTF">2026-08-23T13:13:00Z</dcterms:created>
  <dcterms:modified xsi:type="dcterms:W3CDTF">2026-08-23T13:13:00Z</dcterms:modified>
</cp:coreProperties>
</file>