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43bb15aaafd1692833eecff924f58b1a9af02cb"/>
    <w:p>
      <w:pPr>
        <w:pStyle w:val="Heading1"/>
      </w:pPr>
      <w:r>
        <w:t xml:space="preserve">Compute Match — Roles, Permissions and Access Control</w:t>
      </w:r>
    </w:p>
    <w:bookmarkStart w:id="9" w:name="personas-and-the-roles-behind-them"/>
    <w:p>
      <w:pPr>
        <w:pStyle w:val="Heading2"/>
      </w:pPr>
      <w:r>
        <w:t xml:space="preserve">Personas and the roles behind them</w:t>
      </w:r>
    </w:p>
    <w:p>
      <w:pPr>
        <w:pStyle w:val="FirstParagraph"/>
      </w:pPr>
      <w:r>
        <w:t xml:space="preserve">Compute Match uses Keycloak realm roles. The frontend turns roles into feature</w:t>
      </w:r>
      <w:r>
        <w:t xml:space="preserve"> </w:t>
      </w:r>
      <w:r>
        <w:rPr>
          <w:b/>
          <w:bCs/>
        </w:rPr>
        <w:t xml:space="preserve">scopes</w:t>
      </w:r>
      <w:r>
        <w:t xml:space="preserve">, and the backend checks scopes on each API call.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Keycloak roles (examples)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/ Offtaker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customer_account_manager</w:t>
            </w:r>
            <w:r>
              <w:t xml:space="preserve">, Starfleet variants such as</w:t>
            </w:r>
            <w:r>
              <w:t xml:space="preserve"> </w:t>
            </w:r>
            <w:r>
              <w:rPr>
                <w:rStyle w:val="VerbatimChar"/>
              </w:rPr>
              <w:t xml:space="preserve">customer_consumer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customer_tech_admin</w:t>
            </w:r>
          </w:p>
        </w:tc>
        <w:tc>
          <w:tcPr/>
          <w:p>
            <w:pPr>
              <w:pStyle w:val="Compact"/>
            </w:pPr>
            <w:r>
              <w:t xml:space="preserve">Self sign-up users get</w:t>
            </w:r>
            <w:r>
              <w:t xml:space="preserve"> </w:t>
            </w:r>
            <w:r>
              <w:rPr>
                <w:rStyle w:val="VerbatimChar"/>
              </w:rPr>
              <w:t xml:space="preserve">default-roles-customer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business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provider_business_user</w:t>
            </w:r>
          </w:p>
        </w:tc>
        <w:tc>
          <w:tcPr/>
          <w:p>
            <w:pPr>
              <w:pStyle w:val="Compact"/>
            </w:pPr>
            <w:r>
              <w:t xml:space="preserve">Can manage inventory and act on reservations. Members of the Keycloak group</w:t>
            </w:r>
            <w:r>
              <w:t xml:space="preserve"> </w:t>
            </w:r>
            <w:r>
              <w:rPr>
                <w:rStyle w:val="VerbatimChar"/>
              </w:rPr>
              <w:t xml:space="preserve">offering-validator</w:t>
            </w:r>
            <w:r>
              <w:t xml:space="preserve"> </w:t>
            </w:r>
            <w:r>
              <w:t xml:space="preserve">receive magic-link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basic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provider_basic_user</w:t>
            </w:r>
          </w:p>
        </w:tc>
        <w:tc>
          <w:tcPr/>
          <w:p>
            <w:pPr>
              <w:pStyle w:val="Compact"/>
            </w:pPr>
            <w:r>
              <w:t xml:space="preserve">Read-only NCP access; never receives magic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platform_business_admin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platform_business_admin_super_user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platform_business_admin_ops_user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platform_customer_provider_am</w:t>
            </w:r>
          </w:p>
        </w:tc>
        <w:tc>
          <w:tcPr/>
          <w:p>
            <w:pPr>
              <w:pStyle w:val="Compact"/>
            </w:pPr>
            <w:r>
              <w:t xml:space="preserve">Cross-NCP visibility, review and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managers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account_manager_consumer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account_manager_provider</w:t>
            </w:r>
          </w:p>
        </w:tc>
        <w:tc>
          <w:tcPr/>
          <w:p>
            <w:pPr>
              <w:pStyle w:val="Compact"/>
            </w:pPr>
            <w:r>
              <w:t xml:space="preserve">The only roles allowed to belong to more than one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/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systems</w:t>
            </w:r>
          </w:p>
        </w:tc>
        <w:tc>
          <w:tcPr/>
          <w:p>
            <w:pPr>
              <w:pStyle w:val="Compact"/>
            </w:pPr>
            <w:r>
              <w:t xml:space="preserve">User activation, service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superset_admins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superset_dashboard_viewers</w:t>
            </w:r>
          </w:p>
        </w:tc>
        <w:tc>
          <w:tcPr/>
          <w:p>
            <w:pPr>
              <w:pStyle w:val="Compact"/>
            </w:pPr>
            <w:r>
              <w:t xml:space="preserve">Superset access</w:t>
            </w:r>
          </w:p>
        </w:tc>
      </w:tr>
    </w:tbl>
    <w:bookmarkEnd w:id="9"/>
    <w:bookmarkStart w:id="10" w:name="feature-scopes"/>
    <w:p>
      <w:pPr>
        <w:pStyle w:val="Heading2"/>
      </w:pPr>
      <w:r>
        <w:t xml:space="preserve">Feature scopes</w:t>
      </w:r>
    </w:p>
    <w:p>
      <w:pPr>
        <w:pStyle w:val="FirstParagraph"/>
      </w:pPr>
      <w:r>
        <w:t xml:space="preserve">Scopes are defined in</w:t>
      </w:r>
      <w:r>
        <w:t xml:space="preserve"> </w:t>
      </w:r>
      <w:r>
        <w:rPr>
          <w:rStyle w:val="VerbatimChar"/>
        </w:rPr>
        <w:t xml:space="preserve">backend/infrastructure/driving/http/routers/scopes.py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frontend/src/services/auth/accessControl/scopes.ts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Allows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  <w:tc>
          <w:tcPr/>
          <w:p>
            <w:pPr>
              <w:pStyle w:val="Compact"/>
            </w:pPr>
            <w:r>
              <w:t xml:space="preserve">Browse GPU offerings and availability, read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create_reservation_request</w:t>
            </w:r>
          </w:p>
        </w:tc>
        <w:tc>
          <w:tcPr/>
          <w:p>
            <w:pPr>
              <w:pStyle w:val="Compact"/>
            </w:pPr>
            <w:r>
              <w:t xml:space="preserve">Submit reservation and custom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requester_view_reservation_request</w:t>
            </w:r>
          </w:p>
        </w:tc>
        <w:tc>
          <w:tcPr/>
          <w:p>
            <w:pPr>
              <w:pStyle w:val="Compact"/>
            </w:pPr>
            <w:r>
              <w:t xml:space="preserve">See your own requests (My Requests)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requester_manage_reservation_request</w:t>
            </w:r>
          </w:p>
        </w:tc>
        <w:tc>
          <w:tcPr/>
          <w:p>
            <w:pPr>
              <w:pStyle w:val="Compact"/>
            </w:pPr>
            <w:r>
              <w:t xml:space="preserve">Cancel your own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send_request_multiple_provider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Send request to multiple NCP’s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view_provider_inventory</w:t>
            </w:r>
          </w:p>
        </w:tc>
        <w:tc>
          <w:tcPr/>
          <w:p>
            <w:pPr>
              <w:pStyle w:val="Compact"/>
            </w:pPr>
            <w:r>
              <w:t xml:space="preserve">NCP views own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  <w:tc>
          <w:tcPr/>
          <w:p>
            <w:pPr>
              <w:pStyle w:val="Compact"/>
            </w:pPr>
            <w:r>
              <w:t xml:space="preserve">Upload capacities, add or delete offerings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/provider/gpu-capacities-upload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approver_view_reservation_request</w:t>
            </w:r>
          </w:p>
        </w:tc>
        <w:tc>
          <w:tcPr/>
          <w:p>
            <w:pPr>
              <w:pStyle w:val="Compact"/>
            </w:pPr>
            <w:r>
              <w:t xml:space="preserve">NCP sees reservation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approver_manage_reservation_request</w:t>
            </w:r>
          </w:p>
        </w:tc>
        <w:tc>
          <w:tcPr/>
          <w:p>
            <w:pPr>
              <w:pStyle w:val="Compact"/>
            </w:pPr>
            <w:r>
              <w:t xml:space="preserve">NCP accepts, rejects, contracts (gates the split</w:t>
            </w:r>
            <w:r>
              <w:t xml:space="preserve"> </w:t>
            </w:r>
            <w:r>
              <w:rPr>
                <w:b/>
                <w:bCs/>
              </w:rPr>
              <w:t xml:space="preserve">Manage reservation</w:t>
            </w:r>
            <w:r>
              <w:t xml:space="preserve"> </w:t>
            </w:r>
            <w:r>
              <w:t xml:space="preserve">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approver_view_custom_reservation_request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approver_manage_custom_reservation_request</w:t>
            </w:r>
          </w:p>
        </w:tc>
        <w:tc>
          <w:tcPr/>
          <w:p>
            <w:pPr>
              <w:pStyle w:val="Compact"/>
            </w:pPr>
            <w:r>
              <w:t xml:space="preserve">View and move custom requests (Platform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  <w:tc>
          <w:tcPr/>
          <w:p>
            <w:pPr>
              <w:pStyle w:val="Compact"/>
            </w:pPr>
            <w:r>
              <w:t xml:space="preserve">Accept or reject future capacity uploads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/provider/review-future-capacities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  <w:tc>
          <w:tcPr/>
          <w:p>
            <w:pPr>
              <w:pStyle w:val="Compact"/>
            </w:pPr>
            <w:r>
              <w:t xml:space="preserve">Onboard NCPs and review access requests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/provider/ncp-onboarding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global_capacity_view</w:t>
            </w:r>
          </w:p>
        </w:tc>
        <w:tc>
          <w:tcPr/>
          <w:p>
            <w:pPr>
              <w:pStyle w:val="Compact"/>
            </w:pPr>
            <w:r>
              <w:t xml:space="preserve">Global Capacity Explorer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/provider/global-capacity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accept_contract_extension</w:t>
            </w:r>
          </w:p>
        </w:tc>
        <w:tc>
          <w:tcPr/>
          <w:p>
            <w:pPr>
              <w:pStyle w:val="Compact"/>
            </w:pPr>
            <w:r>
              <w:t xml:space="preserve">Extend acceptance or contract deadlines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notification:send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capacity:sync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reservation-request:write</w:t>
            </w:r>
          </w:p>
        </w:tc>
        <w:tc>
          <w:tcPr/>
          <w:p>
            <w:pPr>
              <w:pStyle w:val="Compact"/>
            </w:pPr>
            <w:r>
              <w:t xml:space="preserve">Service-account scopes used by the Temporal worker</w:t>
            </w:r>
          </w:p>
        </w:tc>
      </w:tr>
    </w:tbl>
    <w:bookmarkEnd w:id="10"/>
    <w:bookmarkStart w:id="11" w:name="organization-scoping"/>
    <w:p>
      <w:pPr>
        <w:pStyle w:val="Heading2"/>
      </w:pPr>
      <w:r>
        <w:t xml:space="preserve">Organization scoping</w:t>
      </w:r>
    </w:p>
    <w:p>
      <w:pPr>
        <w:pStyle w:val="Compact"/>
        <w:numPr>
          <w:ilvl w:val="0"/>
          <w:numId w:val="1001"/>
        </w:numPr>
      </w:pPr>
      <w:r>
        <w:t xml:space="preserve">Every user belongs to a Keycloak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. NCP offerings carry</w:t>
      </w:r>
      <w:r>
        <w:t xml:space="preserve"> </w:t>
      </w:r>
      <w:r>
        <w:rPr>
          <w:rStyle w:val="VerbatimChar"/>
        </w:rPr>
        <w:t xml:space="preserve">provider_organization_id</w:t>
      </w:r>
      <w:r>
        <w:t xml:space="preserve">, so NCP users only see their own organization’s inventory and requests.</w:t>
      </w:r>
    </w:p>
    <w:p>
      <w:pPr>
        <w:pStyle w:val="Compact"/>
        <w:numPr>
          <w:ilvl w:val="0"/>
          <w:numId w:val="1001"/>
        </w:numPr>
      </w:pPr>
      <w:r>
        <w:t xml:space="preserve">Platform Admins see across all NCPs.</w:t>
      </w:r>
    </w:p>
    <w:p>
      <w:pPr>
        <w:pStyle w:val="Compact"/>
        <w:numPr>
          <w:ilvl w:val="0"/>
          <w:numId w:val="1001"/>
        </w:numPr>
      </w:pPr>
      <w:r>
        <w:t xml:space="preserve">Only account-manager roles may be in multiple organizations (enforced by the</w:t>
      </w:r>
      <w:r>
        <w:t xml:space="preserve"> </w:t>
      </w:r>
      <w:r>
        <w:rPr>
          <w:rStyle w:val="VerbatimChar"/>
        </w:rPr>
        <w:t xml:space="preserve">multi-org-policy</w:t>
      </w:r>
      <w:r>
        <w:t xml:space="preserve"> </w:t>
      </w:r>
      <w:r>
        <w:t xml:space="preserve">Keycloak extension).</w:t>
      </w:r>
    </w:p>
    <w:p>
      <w:pPr>
        <w:pStyle w:val="Compact"/>
        <w:numPr>
          <w:ilvl w:val="0"/>
          <w:numId w:val="1001"/>
        </w:numPr>
      </w:pPr>
      <w:r>
        <w:t xml:space="preserve">One organization exists per Salesforce partner account; NCP organization names come from the Salesforce account name.</w:t>
      </w:r>
    </w:p>
    <w:bookmarkEnd w:id="11"/>
    <w:bookmarkStart w:id="12" w:name="customer-confidentiality"/>
    <w:p>
      <w:pPr>
        <w:pStyle w:val="Heading2"/>
      </w:pPr>
      <w:r>
        <w:t xml:space="preserve">Customer confidentiality</w:t>
      </w:r>
    </w:p>
    <w:p>
      <w:pPr>
        <w:pStyle w:val="FirstParagraph"/>
      </w:pPr>
      <w:r>
        <w:t xml:space="preserve">NCPs may see a customer’s organization name blurred and labelled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until engagement. Contracted prices are only visible to NCPs, platform account managers and admins.</w:t>
      </w:r>
    </w:p>
    <w:bookmarkEnd w:id="12"/>
    <w:bookmarkStart w:id="13" w:name="account-status-gates"/>
    <w:p>
      <w:pPr>
        <w:pStyle w:val="Heading2"/>
      </w:pPr>
      <w:r>
        <w:t xml:space="preserve">Account status gates</w:t>
      </w:r>
    </w:p>
    <w:p>
      <w:pPr>
        <w:pStyle w:val="FirstParagraph"/>
      </w:pPr>
      <w:r>
        <w:t xml:space="preserve">After login, the backend middleware and frontend middleware check, in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 denied</w:t>
      </w:r>
      <w:r>
        <w:t xml:space="preserve"> </w:t>
      </w:r>
      <w:r>
        <w:t xml:space="preserve">— identity verified but not authorized (for example personal email domain, missing role). User is pinned to</w:t>
      </w:r>
      <w:r>
        <w:t xml:space="preserve"> </w:t>
      </w:r>
      <w:r>
        <w:rPr>
          <w:rStyle w:val="VerbatimChar"/>
        </w:rPr>
        <w:t xml:space="preserve">/access-denied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 pending</w:t>
      </w:r>
      <w:r>
        <w:t xml:space="preserve"> </w:t>
      </w:r>
      <w:r>
        <w:t xml:space="preserve">— the user’s email domain belongs to an NVIDIA partner but the NCP has not been onboarded yet. An access request is created and the user waits on</w:t>
      </w:r>
      <w:r>
        <w:t xml:space="preserve"> </w:t>
      </w:r>
      <w:r>
        <w:rPr>
          <w:rStyle w:val="VerbatimChar"/>
        </w:rPr>
        <w:t xml:space="preserve">/access-pending</w:t>
      </w:r>
      <w:r>
        <w:t xml:space="preserve"> </w:t>
      </w:r>
      <w:r>
        <w:t xml:space="preserve">until a Platform Admin approves.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status PENDING</w:t>
      </w:r>
      <w:r>
        <w:t xml:space="preserve"> </w:t>
      </w:r>
      <w:r>
        <w:t xml:space="preserve">— account awaiting activation; user sees</w:t>
      </w:r>
      <w:r>
        <w:t xml:space="preserve"> </w:t>
      </w:r>
      <w:r>
        <w:rPr>
          <w:rStyle w:val="VerbatimChar"/>
        </w:rPr>
        <w:t xml:space="preserve">/user-status-pending</w:t>
      </w:r>
      <w:r>
        <w:t xml:space="preserve"> </w:t>
      </w:r>
      <w:r>
        <w:t xml:space="preserve">(</w:t>
      </w:r>
      <w:r>
        <w:t xml:space="preserve">“Thanks for Signing up”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incomplete</w:t>
      </w:r>
      <w:r>
        <w:t xml:space="preserve"> </w:t>
      </w:r>
      <w:r>
        <w:t xml:space="preserve">— user must fill</w:t>
      </w:r>
      <w:r>
        <w:t xml:space="preserve"> </w:t>
      </w:r>
      <w:r>
        <w:rPr>
          <w:b/>
          <w:bCs/>
        </w:rPr>
        <w:t xml:space="preserve">Complete Your Profile</w:t>
      </w:r>
      <w:r>
        <w:t xml:space="preserve"> </w:t>
      </w:r>
      <w:r>
        <w:t xml:space="preserve">(first name, last name, organization name, phone).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Terms not accepted</w:t>
      </w:r>
      <w:r>
        <w:t xml:space="preserve"> </w:t>
      </w:r>
      <w:r>
        <w:t xml:space="preserve">— a blocking modal requires scrolling the Terms and Conditions, ticking</w:t>
      </w:r>
      <w:r>
        <w:t xml:space="preserve"> </w:t>
      </w:r>
      <w:r>
        <w:t xml:space="preserve">“I have read and agree to the Terms and Conditions”</w:t>
      </w:r>
      <w:r>
        <w:t xml:space="preserve"> </w:t>
      </w:r>
      <w:r>
        <w:t xml:space="preserve">and clicking</w:t>
      </w:r>
      <w:r>
        <w:t xml:space="preserve"> </w:t>
      </w:r>
      <w:r>
        <w:rPr>
          <w:b/>
          <w:bCs/>
        </w:rPr>
        <w:t xml:space="preserve">Accept &amp; Continue</w:t>
      </w:r>
      <w:r>
        <w:t xml:space="preserve">.</w:t>
      </w:r>
    </w:p>
    <w:p>
      <w:pPr>
        <w:pStyle w:val="FirstParagraph"/>
      </w:pPr>
      <w:r>
        <w:t xml:space="preserve">User account statuses are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13"/>
    <w:bookmarkStart w:id="14" w:name="why-is-a-menu-item-missing"/>
    <w:p>
      <w:pPr>
        <w:pStyle w:val="Heading2"/>
      </w:pPr>
      <w:r>
        <w:t xml:space="preserve">Why is a menu item missing?</w:t>
      </w:r>
    </w:p>
    <w:p>
      <w:pPr>
        <w:pStyle w:val="FirstParagraph"/>
      </w:pPr>
      <w:r>
        <w:t xml:space="preserve">Menu items appear only when you hold the matching scope. For example,</w:t>
      </w:r>
      <w:r>
        <w:t xml:space="preserve"> </w:t>
      </w:r>
      <w:r>
        <w:rPr>
          <w:b/>
          <w:bCs/>
        </w:rPr>
        <w:t xml:space="preserve">Upload Capacities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manage_inventory</w:t>
      </w:r>
      <w:r>
        <w:t xml:space="preserve">;</w:t>
      </w:r>
      <w:r>
        <w:t xml:space="preserve"> </w:t>
      </w:r>
      <w:r>
        <w:rPr>
          <w:b/>
          <w:bCs/>
        </w:rPr>
        <w:t xml:space="preserve">Global Capacity Explorer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global_capacity_view</w:t>
      </w:r>
      <w:r>
        <w:t xml:space="preserve">. If something is missing, ask your Platform Admin to grant the role. NCP basic users (</w:t>
      </w:r>
      <w:r>
        <w:rPr>
          <w:rStyle w:val="VerbatimChar"/>
        </w:rPr>
        <w:t xml:space="preserve">provider_basic_user</w:t>
      </w:r>
      <w:r>
        <w:t xml:space="preserve">) are read-only by design and are sent to the table view instead of the split Manage reservation view.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2026-10-16T06:45:19Z</dcterms:created>
  <dcterms:modified xsi:type="dcterms:W3CDTF">2026-10-16T06:45:19Z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Roles, Permissions and Access Control</vt:lpwstr>
  </property>
</Properties>
</file>