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7e82f2ce7091b2debec502eac577bda4b2afbf8"/>
    <w:p>
      <w:pPr>
        <w:pStyle w:val="Heading1"/>
      </w:pPr>
      <w:r>
        <w:t xml:space="preserve">Compute Match — Signing Up, Signing In and First-Time Setup</w:t>
      </w:r>
    </w:p>
    <w:bookmarkStart w:id="9" w:name="how-sign-in-works"/>
    <w:p>
      <w:pPr>
        <w:pStyle w:val="Heading2"/>
      </w:pPr>
      <w:r>
        <w:t xml:space="preserve">How sign-in works</w:t>
      </w:r>
    </w:p>
    <w:p>
      <w:pPr>
        <w:pStyle w:val="FirstParagraph"/>
      </w:pPr>
      <w:r>
        <w:t xml:space="preserve">Compute Match uses</w:t>
      </w:r>
      <w:r>
        <w:t xml:space="preserve"> </w:t>
      </w:r>
      <w:r>
        <w:rPr>
          <w:b/>
          <w:bCs/>
        </w:rPr>
        <w:t xml:space="preserve">Starfleet</w:t>
      </w:r>
      <w:r>
        <w:t xml:space="preserve">, NVIDIA’s single sign-on service, through</w:t>
      </w:r>
      <w:r>
        <w:t xml:space="preserve"> </w:t>
      </w:r>
      <w:r>
        <w:rPr>
          <w:b/>
          <w:bCs/>
        </w:rPr>
        <w:t xml:space="preserve">Keycloak</w:t>
      </w:r>
      <w:r>
        <w:t xml:space="preserve">. Sign up and Login use the same flow.</w:t>
      </w:r>
    </w:p>
    <w:p>
      <w:pPr>
        <w:pStyle w:val="Compact"/>
        <w:numPr>
          <w:ilvl w:val="0"/>
          <w:numId w:val="1001"/>
        </w:numPr>
      </w:pPr>
      <w:r>
        <w:t xml:space="preserve">Open the home page and click</w:t>
      </w:r>
      <w:r>
        <w:t xml:space="preserve"> </w:t>
      </w:r>
      <w:r>
        <w:rPr>
          <w:b/>
          <w:bCs/>
        </w:rPr>
        <w:t xml:space="preserve">Get Started</w:t>
      </w:r>
      <w:r>
        <w:t xml:space="preserve">,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On the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page enter your</w:t>
      </w:r>
      <w:r>
        <w:t xml:space="preserve"> </w:t>
      </w:r>
      <w:r>
        <w:rPr>
          <w:b/>
          <w:bCs/>
        </w:rPr>
        <w:t xml:space="preserve">Work email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Personal email domains (Gmail, Yahoo, Hotmail and similar) are blocked with an explanation. Use your work or enterprise email.</w:t>
      </w:r>
    </w:p>
    <w:p>
      <w:pPr>
        <w:pStyle w:val="Compact"/>
        <w:numPr>
          <w:ilvl w:val="0"/>
          <w:numId w:val="1001"/>
        </w:numPr>
      </w:pPr>
      <w:r>
        <w:t xml:space="preserve">You are redirected to Starfleet and your organization’s identity provider (for example NVIDIA corporate login or your company SSO).</w:t>
      </w:r>
    </w:p>
    <w:p>
      <w:pPr>
        <w:pStyle w:val="Compact"/>
        <w:numPr>
          <w:ilvl w:val="0"/>
          <w:numId w:val="1001"/>
        </w:numPr>
      </w:pPr>
      <w:r>
        <w:t xml:space="preserve">After authentication you return to Compute Match. You may briefly pass through several authentication pages; this is normal.</w:t>
      </w:r>
    </w:p>
    <w:p>
      <w:pPr>
        <w:pStyle w:val="FirstParagraph"/>
      </w:pPr>
      <w:r>
        <w:t xml:space="preserve">Technically, the frontend uses NextAuth 5 with the Keycloak client</w:t>
      </w:r>
      <w:r>
        <w:t xml:space="preserve"> </w:t>
      </w:r>
      <w:r>
        <w:rPr>
          <w:rStyle w:val="VerbatimChar"/>
        </w:rPr>
        <w:t xml:space="preserve">customer-web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realm, and passes</w:t>
      </w:r>
      <w:r>
        <w:t xml:space="preserve"> </w:t>
      </w:r>
      <w:r>
        <w:rPr>
          <w:rStyle w:val="VerbatimChar"/>
        </w:rPr>
        <w:t xml:space="preserve">kc_idp_hint=starfleet</w:t>
      </w:r>
      <w:r>
        <w:t xml:space="preserve"> </w:t>
      </w:r>
      <w:r>
        <w:t xml:space="preserve">to send users to the Starfleet identity broker.</w:t>
      </w:r>
    </w:p>
    <w:bookmarkEnd w:id="9"/>
    <w:bookmarkStart w:id="10" w:name="where-you-land-after-sign-in"/>
    <w:p>
      <w:pPr>
        <w:pStyle w:val="Heading2"/>
      </w:pPr>
      <w:r>
        <w:t xml:space="preserve">Where you land after sign-in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 a Cluster to Reserve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/customer/reservation-request/available-clusters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/provider/dashboard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Capacity Explorer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/provider/global-capacity</w:t>
            </w:r>
            <w:r>
              <w:t xml:space="preserve">) when available, otherwise the provider dashboard</w:t>
            </w:r>
          </w:p>
        </w:tc>
      </w:tr>
    </w:tbl>
    <w:bookmarkEnd w:id="10"/>
    <w:bookmarkStart w:id="11" w:name="first-time-checks"/>
    <w:p>
      <w:pPr>
        <w:pStyle w:val="Heading2"/>
      </w:pPr>
      <w:r>
        <w:t xml:space="preserve">First-time checks</w:t>
      </w:r>
    </w:p>
    <w:p>
      <w:pPr>
        <w:pStyle w:val="FirstParagraph"/>
      </w:pPr>
      <w:r>
        <w:t xml:space="preserve">After the first sign-in you may see one or more of these screens: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 Your Profile</w:t>
      </w:r>
      <w:r>
        <w:t xml:space="preserve"> </w:t>
      </w:r>
      <w:r>
        <w:t xml:space="preserve">(customers,</w:t>
      </w:r>
      <w:r>
        <w:t xml:space="preserve"> </w:t>
      </w:r>
      <w:r>
        <w:rPr>
          <w:rStyle w:val="VerbatimChar"/>
        </w:rPr>
        <w:t xml:space="preserve">/customer/additional-user-details</w:t>
      </w:r>
      <w:r>
        <w:t xml:space="preserve">) or</w:t>
      </w:r>
      <w:r>
        <w:t xml:space="preserve"> </w:t>
      </w:r>
      <w:r>
        <w:rPr>
          <w:b/>
          <w:bCs/>
        </w:rPr>
        <w:t xml:space="preserve">Complete Your NCP Profile</w:t>
      </w:r>
      <w:r>
        <w:t xml:space="preserve"> </w:t>
      </w:r>
      <w:r>
        <w:t xml:space="preserve">(NCPs,</w:t>
      </w:r>
      <w:r>
        <w:t xml:space="preserve"> </w:t>
      </w:r>
      <w:r>
        <w:rPr>
          <w:rStyle w:val="VerbatimChar"/>
        </w:rPr>
        <w:t xml:space="preserve">/provider/additional-user-details</w:t>
      </w:r>
      <w:r>
        <w:t xml:space="preserve">). Fill First Name, Last Name, Organization Name and Phone Number (digits only;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is pre-filled) and click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Terms and Conditions modal</w:t>
      </w:r>
      <w:r>
        <w:t xml:space="preserve">. Scroll to the end, tick the checkbox and click</w:t>
      </w:r>
      <w:r>
        <w:t xml:space="preserve"> </w:t>
      </w:r>
      <w:r>
        <w:rPr>
          <w:b/>
          <w:bCs/>
        </w:rPr>
        <w:t xml:space="preserve">Accept &amp; Continue</w:t>
      </w:r>
      <w:r>
        <w:t xml:space="preserve">, or</w:t>
      </w:r>
      <w:r>
        <w:t xml:space="preserve"> </w:t>
      </w:r>
      <w:r>
        <w:rPr>
          <w:b/>
          <w:bCs/>
        </w:rPr>
        <w:t xml:space="preserve">Sign out</w:t>
      </w:r>
      <w:r>
        <w:t xml:space="preserve">. Acceptance is stored as a timestamp on your user (</w:t>
      </w:r>
      <w:r>
        <w:rPr>
          <w:rStyle w:val="VerbatimChar"/>
        </w:rPr>
        <w:t xml:space="preserve">POST /api/v1/users/me/terms-acceptance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Thanks for Signing up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/user-status-pending</w:t>
      </w:r>
      <w:r>
        <w:t xml:space="preserve">). Your account is pending activation; you will get an email when activated.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access is being reviewed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/access-pending</w:t>
      </w:r>
      <w:r>
        <w:t xml:space="preserve">). Your company is an NVIDIA partner but its NCP organization is not onboarded yet. A Platform Admin must approve your access request. Once approved, the page shows</w:t>
      </w:r>
      <w:r>
        <w:t xml:space="preserve"> </w:t>
      </w:r>
      <w:r>
        <w:rPr>
          <w:b/>
          <w:bCs/>
        </w:rPr>
        <w:t xml:space="preserve">Your access has been approved</w:t>
      </w:r>
      <w:r>
        <w:t xml:space="preserve"> </w:t>
      </w:r>
      <w:r>
        <w:t xml:space="preserve">while the session refreshes.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 denied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/access-denied</w:t>
      </w:r>
      <w:r>
        <w:t xml:space="preserve">). Your identity was verified but you are not authorized. The page shows your email and the reason. Contact computematchmake@nvidia.com or sign out and use another work account.</w:t>
      </w:r>
    </w:p>
    <w:bookmarkEnd w:id="11"/>
    <w:bookmarkStart w:id="15" w:name="ncp-sign-in-paths"/>
    <w:p>
      <w:pPr>
        <w:pStyle w:val="Heading2"/>
      </w:pPr>
      <w:r>
        <w:t xml:space="preserve">NCP sign-in paths</w:t>
      </w:r>
    </w:p>
    <w:bookmarkStart w:id="12" w:name="welcome-email"/>
    <w:p>
      <w:pPr>
        <w:pStyle w:val="Heading3"/>
      </w:pPr>
      <w:r>
        <w:t xml:space="preserve">Welcome email</w:t>
      </w:r>
    </w:p>
    <w:p>
      <w:pPr>
        <w:pStyle w:val="FirstParagraph"/>
      </w:pPr>
      <w:r>
        <w:t xml:space="preserve">New NCP users created by NCP onboarding receive a</w:t>
      </w:r>
      <w:r>
        <w:t xml:space="preserve"> </w:t>
      </w:r>
      <w:r>
        <w:rPr>
          <w:rStyle w:val="VerbatimChar"/>
        </w:rPr>
        <w:t xml:space="preserve">provider_welcome</w:t>
      </w:r>
      <w:r>
        <w:t xml:space="preserve"> </w:t>
      </w:r>
      <w:r>
        <w:t xml:space="preserve">email with a direct login link.</w:t>
      </w:r>
    </w:p>
    <w:bookmarkEnd w:id="12"/>
    <w:bookmarkStart w:id="13" w:name="magic-link-respond-to-a-reservation"/>
    <w:p>
      <w:pPr>
        <w:pStyle w:val="Heading3"/>
      </w:pPr>
      <w:r>
        <w:t xml:space="preserve">Magic link (respond to a reservation)</w:t>
      </w:r>
    </w:p>
    <w:p>
      <w:pPr>
        <w:pStyle w:val="FirstParagraph"/>
      </w:pPr>
      <w:r>
        <w:t xml:space="preserve">When a reservation request is routed to an NCP, users in that NCP organization who have the</w:t>
      </w:r>
      <w:r>
        <w:t xml:space="preserve"> </w:t>
      </w:r>
      <w:r>
        <w:rPr>
          <w:rStyle w:val="VerbatimChar"/>
        </w:rPr>
        <w:t xml:space="preserve">provider_business_user</w:t>
      </w:r>
      <w:r>
        <w:t xml:space="preserve"> </w:t>
      </w:r>
      <w:r>
        <w:t xml:space="preserve">role and belong to the</w:t>
      </w:r>
      <w:r>
        <w:t xml:space="preserve"> </w:t>
      </w:r>
      <w:r>
        <w:rPr>
          <w:rStyle w:val="VerbatimChar"/>
        </w:rPr>
        <w:t xml:space="preserve">offering-validator</w:t>
      </w:r>
      <w:r>
        <w:t xml:space="preserve"> </w:t>
      </w:r>
      <w:r>
        <w:t xml:space="preserve">group get an email with a magic link.</w:t>
      </w:r>
    </w:p>
    <w:p>
      <w:pPr>
        <w:pStyle w:val="Compact"/>
        <w:numPr>
          <w:ilvl w:val="0"/>
          <w:numId w:val="1003"/>
        </w:numPr>
      </w:pPr>
      <w:r>
        <w:t xml:space="preserve">The link is a Keycloak action token created by the custom</w:t>
      </w:r>
      <w:r>
        <w:t xml:space="preserve"> </w:t>
      </w:r>
      <w:r>
        <w:rPr>
          <w:rStyle w:val="VerbatimChar"/>
        </w:rPr>
        <w:t xml:space="preserve">accept-reservation-token</w:t>
      </w:r>
      <w:r>
        <w:t xml:space="preserve"> </w:t>
      </w:r>
      <w:r>
        <w:t xml:space="preserve">extension.</w:t>
      </w:r>
    </w:p>
    <w:p>
      <w:pPr>
        <w:pStyle w:val="Compact"/>
        <w:numPr>
          <w:ilvl w:val="0"/>
          <w:numId w:val="1003"/>
        </w:numPr>
      </w:pPr>
      <w:r>
        <w:t xml:space="preserve">Keycloak validates the token and a one-time nonce with the backend (</w:t>
      </w:r>
      <w:r>
        <w:rPr>
          <w:rStyle w:val="VerbatimChar"/>
        </w:rPr>
        <w:t xml:space="preserve">POST /api/v1/offering/validate-nonce</w:t>
      </w:r>
      <w:r>
        <w:t xml:space="preserve">), blocks the link if a different user is already logged in, creates a session and redirects.</w:t>
      </w:r>
    </w:p>
    <w:p>
      <w:pPr>
        <w:pStyle w:val="Compact"/>
        <w:numPr>
          <w:ilvl w:val="0"/>
          <w:numId w:val="1003"/>
        </w:numPr>
      </w:pPr>
      <w:r>
        <w:t xml:space="preserve">The browser lands on</w:t>
      </w:r>
      <w:r>
        <w:t xml:space="preserve"> </w:t>
      </w:r>
      <w:r>
        <w:rPr>
          <w:rStyle w:val="VerbatimChar"/>
        </w:rPr>
        <w:t xml:space="preserve">/automatic-login?from=magic-link&amp;callbackUrl=...</w:t>
      </w:r>
      <w:r>
        <w:t xml:space="preserve">, which skips the email page and reuses the SSO session, then opens</w:t>
      </w:r>
      <w:r>
        <w:t xml:space="preserve"> </w:t>
      </w:r>
      <w:r>
        <w:rPr>
          <w:b/>
          <w:bCs/>
        </w:rPr>
        <w:t xml:space="preserve">Manage reservation</w:t>
      </w:r>
      <w:r>
        <w:t xml:space="preserve"> </w:t>
      </w:r>
      <w:r>
        <w:t xml:space="preserve">so the NCP can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magic link is valid for 1 hour. NCPs or admins can resend one (</w:t>
      </w:r>
      <w:r>
        <w:rPr>
          <w:rStyle w:val="VerbatimChar"/>
        </w:rPr>
        <w:t xml:space="preserve">POST /api/v1/provider/offering/{offeringId}/resend-magic-link</w:t>
      </w:r>
      <w:r>
        <w:t xml:space="preserve">) within 7 days of routing.</w:t>
      </w:r>
    </w:p>
    <w:bookmarkEnd w:id="13"/>
    <w:bookmarkStart w:id="14" w:name="npn-portal"/>
    <w:p>
      <w:pPr>
        <w:pStyle w:val="Heading3"/>
      </w:pPr>
      <w:r>
        <w:t xml:space="preserve">NPN portal</w:t>
      </w:r>
    </w:p>
    <w:p>
      <w:pPr>
        <w:pStyle w:val="FirstParagraph"/>
      </w:pPr>
      <w:r>
        <w:t xml:space="preserve">NVIDIA Partner Network (NPN) members can reach Compute Match directly from the NPN portal (feature flag</w:t>
      </w:r>
      <w:r>
        <w:t xml:space="preserve"> </w:t>
      </w:r>
      <w:r>
        <w:rPr>
          <w:rStyle w:val="VerbatimChar"/>
        </w:rPr>
        <w:t xml:space="preserve">NPN_PORTAL_INTEGRATION_ENABLED</w:t>
      </w:r>
      <w:r>
        <w:t xml:space="preserve">). They still pass through the work-email page and Starfleet. If their partner organization is not onboarded yet, an access request with source</w:t>
      </w:r>
      <w:r>
        <w:t xml:space="preserve"> </w:t>
      </w:r>
      <w:r>
        <w:rPr>
          <w:rStyle w:val="VerbatimChar"/>
        </w:rPr>
        <w:t xml:space="preserve">NPN_PORTAL</w:t>
      </w:r>
      <w:r>
        <w:t xml:space="preserve"> </w:t>
      </w:r>
      <w:r>
        <w:t xml:space="preserve">is created and they wait on the access-pending page.</w:t>
      </w:r>
    </w:p>
    <w:bookmarkEnd w:id="14"/>
    <w:bookmarkEnd w:id="15"/>
    <w:bookmarkStart w:id="16" w:name="how-partner-detection-works"/>
    <w:p>
      <w:pPr>
        <w:pStyle w:val="Heading2"/>
      </w:pPr>
      <w:r>
        <w:t xml:space="preserve">How partner detection works</w:t>
      </w:r>
    </w:p>
    <w:p>
      <w:pPr>
        <w:pStyle w:val="Compact"/>
        <w:numPr>
          <w:ilvl w:val="0"/>
          <w:numId w:val="1004"/>
        </w:numPr>
      </w:pPr>
      <w:r>
        <w:t xml:space="preserve">Compute Match keeps a</w:t>
      </w:r>
      <w:r>
        <w:t xml:space="preserve"> </w:t>
      </w:r>
      <w:r>
        <w:rPr>
          <w:b/>
          <w:bCs/>
        </w:rPr>
        <w:t xml:space="preserve">partner domain</w:t>
      </w:r>
      <w:r>
        <w:t xml:space="preserve"> </w:t>
      </w:r>
      <w:r>
        <w:t xml:space="preserve">mirror of email domains belonging to NVIDIA partners, synced from Salesforce twice a day.</w:t>
      </w:r>
    </w:p>
    <w:p>
      <w:pPr>
        <w:pStyle w:val="Compact"/>
        <w:numPr>
          <w:ilvl w:val="0"/>
          <w:numId w:val="1004"/>
        </w:numPr>
      </w:pPr>
      <w:r>
        <w:t xml:space="preserve">Domain lookup statuses are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NOT_PARTNER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Personal mail providers can never be partner domains.</w:t>
      </w:r>
    </w:p>
    <w:p>
      <w:pPr>
        <w:pStyle w:val="Compact"/>
        <w:numPr>
          <w:ilvl w:val="0"/>
          <w:numId w:val="1004"/>
        </w:numPr>
      </w:pPr>
      <w:r>
        <w:t xml:space="preserve">When a user from a partner domain signs up and their NCP is not onboarded,</w:t>
      </w:r>
      <w:r>
        <w:t xml:space="preserve"> </w:t>
      </w:r>
      <w:r>
        <w:rPr>
          <w:rStyle w:val="VerbatimChar"/>
        </w:rPr>
        <w:t xml:space="preserve">POST /api/v1/user</w:t>
      </w:r>
      <w:r>
        <w:t xml:space="preserve"> </w:t>
      </w:r>
      <w:r>
        <w:t xml:space="preserve">creates an</w:t>
      </w:r>
      <w:r>
        <w:t xml:space="preserve"> </w:t>
      </w:r>
      <w:r>
        <w:rPr>
          <w:b/>
          <w:bCs/>
        </w:rPr>
        <w:t xml:space="preserve">access request</w:t>
      </w:r>
      <w:r>
        <w:t xml:space="preserve"> </w:t>
      </w:r>
      <w:r>
        <w:t xml:space="preserve">(statuses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; sources</w:t>
      </w:r>
      <w:r>
        <w:t xml:space="preserve"> </w:t>
      </w:r>
      <w:r>
        <w:rPr>
          <w:rStyle w:val="VerbatimChar"/>
        </w:rPr>
        <w:t xml:space="preserve">NPN_PORTAL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 Platform Admin approves or rejects it under</w:t>
      </w:r>
      <w:r>
        <w:t xml:space="preserve"> </w:t>
      </w:r>
      <w:r>
        <w:rPr>
          <w:b/>
          <w:bCs/>
        </w:rPr>
        <w:t xml:space="preserve">Onboard NCPs → Review Onboarding Requests</w:t>
      </w:r>
      <w:r>
        <w:t xml:space="preserve">. Approval provisions the organization and user in Keycloak; rejection emails the reason. A rejected applicant can apply again, which creates a new request.</w:t>
      </w:r>
    </w:p>
    <w:bookmarkEnd w:id="16"/>
    <w:bookmarkStart w:id="17" w:name="signing-out"/>
    <w:p>
      <w:pPr>
        <w:pStyle w:val="Heading2"/>
      </w:pPr>
      <w:r>
        <w:t xml:space="preserve">Signing out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in the account menu. If your session cannot be refreshed, the app shows a recovery screen and performs a full Keycloak logout.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2026-10-16T06:45:20Z</dcterms:created>
  <dcterms:modified xsi:type="dcterms:W3CDTF">2026-10-16T06:45:20Z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Signing Up, Signing In and First-Time Setup</vt:lpwstr>
  </property>
</Properties>
</file>