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compute-match-platform-admin-guide"/>
    <w:p>
      <w:pPr>
        <w:pStyle w:val="Heading1"/>
      </w:pPr>
      <w:r>
        <w:t xml:space="preserve">Compute Match — Platform Admin Guide</w:t>
      </w:r>
    </w:p>
    <w:p>
      <w:pPr>
        <w:pStyle w:val="FirstParagraph"/>
      </w:pPr>
      <w:r>
        <w:t xml:space="preserve">Platform Admins are NVIDIA staff (roles such as</w:t>
      </w:r>
      <w:r>
        <w:t xml:space="preserve"> </w:t>
      </w:r>
      <w:r>
        <w:rPr>
          <w:rStyle w:val="VerbatimChar"/>
        </w:rPr>
        <w:t xml:space="preserve">platform_business_admin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platform_business_admin_super_user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platform_business_admin_ops_user</w:t>
      </w:r>
      <w:r>
        <w:t xml:space="preserve">) who run the marketplace. They use the same</w:t>
      </w:r>
      <w:r>
        <w:t xml:space="preserve"> </w:t>
      </w:r>
      <w:r>
        <w:rPr>
          <w:rStyle w:val="VerbatimChar"/>
        </w:rPr>
        <w:t xml:space="preserve">/provider/*</w:t>
      </w:r>
      <w:r>
        <w:t xml:space="preserve"> </w:t>
      </w:r>
      <w:r>
        <w:t xml:space="preserve">pages as NCPs, with extra pages and cross-NCP visibility. The header shows the persona label</w:t>
      </w:r>
      <w:r>
        <w:t xml:space="preserve"> </w:t>
      </w:r>
      <w:r>
        <w:rPr>
          <w:b/>
          <w:bCs/>
        </w:rPr>
        <w:t xml:space="preserve">Platform Admin</w:t>
      </w:r>
      <w:r>
        <w:t xml:space="preserve">.</w:t>
      </w:r>
    </w:p>
    <w:bookmarkStart w:id="9" w:name="admin-menu-in-order"/>
    <w:p>
      <w:pPr>
        <w:pStyle w:val="Heading2"/>
      </w:pPr>
      <w:r>
        <w:t xml:space="preserve">Admin menu (in order)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 item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Capacity Explorer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/provider/global-capacity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global_capacity_view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Capacities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/provider/gpu-capacities-upload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/provider?view=table</w:t>
            </w:r>
          </w:p>
        </w:tc>
        <w:tc>
          <w:tcPr/>
          <w:p>
            <w:pPr>
              <w:pStyle w:val="Compact"/>
            </w:pPr>
            <w:r>
              <w:t xml:space="preserve">approver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 NCPs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/provider/ncp-onboarding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manage_ncp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Future Capacities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/provider/review-future-capacities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/provider/custom-requests</w:t>
            </w:r>
          </w:p>
        </w:tc>
        <w:tc>
          <w:tcPr/>
          <w:p>
            <w:pPr>
              <w:pStyle w:val="Compact"/>
            </w:pPr>
            <w:r>
              <w:t xml:space="preserve">custom request scopes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(external)</w:t>
            </w:r>
          </w:p>
        </w:tc>
        <w:tc>
          <w:tcPr/>
          <w:p>
            <w:pPr>
              <w:pStyle w:val="Compact"/>
            </w:pPr>
            <w:r>
              <w:t xml:space="preserve">Superset analytics, opens in a new tab</w:t>
            </w:r>
          </w:p>
        </w:tc>
        <w:tc>
          <w:tcPr/>
          <w:p>
            <w:pPr>
              <w:pStyle w:val="Compact"/>
            </w:pPr>
            <w:r>
              <w:t xml:space="preserve">Superset role</w:t>
            </w:r>
          </w:p>
        </w:tc>
      </w:tr>
    </w:tbl>
    <w:bookmarkEnd w:id="9"/>
    <w:bookmarkStart w:id="10" w:name="global-capacity-explorer"/>
    <w:p>
      <w:pPr>
        <w:pStyle w:val="Heading2"/>
      </w:pPr>
      <w:r>
        <w:t xml:space="preserve">Global Capacity Explorer</w:t>
      </w:r>
    </w:p>
    <w:p>
      <w:pPr>
        <w:pStyle w:val="FirstParagraph"/>
      </w:pPr>
      <w:r>
        <w:t xml:space="preserve">A read-only world view of all GPU capacity across NCPs.</w:t>
      </w:r>
    </w:p>
    <w:p>
      <w:pPr>
        <w:pStyle w:val="Compact"/>
        <w:numPr>
          <w:ilvl w:val="0"/>
          <w:numId w:val="1001"/>
        </w:numPr>
      </w:pPr>
      <w:r>
        <w:t xml:space="preserve">Filters: Search,</w:t>
      </w:r>
      <w:r>
        <w:t xml:space="preserve"> </w:t>
      </w:r>
      <w:r>
        <w:rPr>
          <w:b/>
          <w:bCs/>
        </w:rPr>
        <w:t xml:space="preserve">Platform</w:t>
      </w:r>
      <w:r>
        <w:t xml:space="preserve"> </w:t>
      </w:r>
      <w:r>
        <w:t xml:space="preserve">(required for the chart), Geographical Region,</w:t>
      </w:r>
      <w:r>
        <w:t xml:space="preserve"> </w:t>
      </w:r>
      <w:r>
        <w:rPr>
          <w:b/>
          <w:bCs/>
        </w:rPr>
        <w:t xml:space="preserve">NCP</w:t>
      </w:r>
      <w:r>
        <w:t xml:space="preserve">, Country / Data Centre Location, Start Date, End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 | List</w:t>
      </w:r>
      <w:r>
        <w:t xml:space="preserve"> </w:t>
      </w:r>
      <w:r>
        <w:t xml:space="preserve">toggle. The map shows capacity hotspots;</w:t>
      </w:r>
      <w:r>
        <w:t xml:space="preserve"> </w:t>
      </w:r>
      <w:r>
        <w:t xml:space="preserve">“No datacenter locations match the current filters.”</w:t>
      </w:r>
      <w:r>
        <w:t xml:space="preserve"> </w:t>
      </w:r>
      <w:r>
        <w:t xml:space="preserve">when empty.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Available Capacity</w:t>
      </w:r>
      <w:r>
        <w:t xml:space="preserve"> </w:t>
      </w:r>
      <w:r>
        <w:t xml:space="preserve">chart over time, colour-coded per NCP (same colour for current and future). Tooltips show the month’s peak-day total, current and future split, and per-city breakdown.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Export to Excel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Export to 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GET /api/v1/provider/global-capacity-map</w:t>
      </w:r>
      <w:r>
        <w:t xml:space="preserve">.</w:t>
      </w:r>
    </w:p>
    <w:bookmarkEnd w:id="10"/>
    <w:bookmarkStart w:id="11" w:name="review-future-capacities"/>
    <w:p>
      <w:pPr>
        <w:pStyle w:val="Heading2"/>
      </w:pPr>
      <w:r>
        <w:t xml:space="preserve">Review Future Capacities</w:t>
      </w:r>
    </w:p>
    <w:p>
      <w:pPr>
        <w:pStyle w:val="FirstParagraph"/>
      </w:pPr>
      <w:r>
        <w:t xml:space="preserve">NCP uploads that include rows starting more than 90 days out wait here.</w:t>
      </w:r>
    </w:p>
    <w:p>
      <w:pPr>
        <w:pStyle w:val="Compact"/>
        <w:numPr>
          <w:ilvl w:val="0"/>
          <w:numId w:val="1002"/>
        </w:numPr>
      </w:pPr>
      <w:r>
        <w:t xml:space="preserve">Tabs:</w:t>
      </w:r>
      <w:r>
        <w:t xml:space="preserve"> </w:t>
      </w:r>
      <w:r>
        <w:rPr>
          <w:b/>
          <w:bCs/>
        </w:rPr>
        <w:t xml:space="preserve">All</w:t>
      </w:r>
      <w:r>
        <w:t xml:space="preserve">,</w:t>
      </w:r>
      <w:r>
        <w:t xml:space="preserve"> </w:t>
      </w:r>
      <w:r>
        <w:rPr>
          <w:b/>
          <w:bCs/>
        </w:rPr>
        <w:t xml:space="preserve">Pending</w:t>
      </w:r>
      <w:r>
        <w:t xml:space="preserve">,</w:t>
      </w:r>
      <w:r>
        <w:t xml:space="preserve"> </w:t>
      </w:r>
      <w:r>
        <w:rPr>
          <w:b/>
          <w:bCs/>
        </w:rPr>
        <w:t xml:space="preserve">Accepted</w:t>
      </w:r>
      <w:r>
        <w:t xml:space="preserve">,</w:t>
      </w:r>
      <w:r>
        <w:t xml:space="preserve"> </w:t>
      </w:r>
      <w:r>
        <w:rPr>
          <w:b/>
          <w:bCs/>
        </w:rPr>
        <w:t xml:space="preserve">Rejected</w:t>
      </w:r>
      <w:r>
        <w:t xml:space="preserve">. Filter by</w:t>
      </w:r>
      <w:r>
        <w:t xml:space="preserve"> </w:t>
      </w:r>
      <w:r>
        <w:rPr>
          <w:b/>
          <w:bCs/>
        </w:rPr>
        <w:t xml:space="preserve">NCP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Columns: NCP, File Name (click for details), Uploaded Date, Status, Actions.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Accept</w:t>
      </w:r>
      <w:r>
        <w:t xml:space="preserve">: confirm in</w:t>
      </w:r>
      <w:r>
        <w:t xml:space="preserve"> </w:t>
      </w:r>
      <w:r>
        <w:rPr>
          <w:b/>
          <w:bCs/>
        </w:rPr>
        <w:t xml:space="preserve">Approve Future Capacity Submission</w:t>
      </w:r>
      <w:r>
        <w:t xml:space="preserve">; status becomes Accepted and capacity goes live for customers.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Reject</w:t>
      </w:r>
      <w:r>
        <w:t xml:space="preserve">: enter a reason (required, up to 500 characters) and click</w:t>
      </w:r>
      <w:r>
        <w:t xml:space="preserve"> </w:t>
      </w:r>
      <w:r>
        <w:rPr>
          <w:b/>
          <w:bCs/>
        </w:rPr>
        <w:t xml:space="preserve">Submit Rejection</w:t>
      </w:r>
      <w:r>
        <w:t xml:space="preserve">; the NCP is emailed the reason.</w:t>
      </w:r>
    </w:p>
    <w:p>
      <w:pPr>
        <w:pStyle w:val="Compact"/>
        <w:numPr>
          <w:ilvl w:val="0"/>
          <w:numId w:val="1002"/>
        </w:numPr>
      </w:pPr>
      <w:r>
        <w:t xml:space="preserve">Nothing is accepted or rejected automatically; submissions wait until reviewed.</w:t>
      </w:r>
    </w:p>
    <w:bookmarkEnd w:id="11"/>
    <w:bookmarkStart w:id="13" w:name="onboard-ncps"/>
    <w:p>
      <w:pPr>
        <w:pStyle w:val="Heading2"/>
      </w:pPr>
      <w:r>
        <w:t xml:space="preserve">Onboard NCPs</w:t>
      </w:r>
    </w:p>
    <w:p>
      <w:pPr>
        <w:pStyle w:val="Compact"/>
        <w:numPr>
          <w:ilvl w:val="0"/>
          <w:numId w:val="1003"/>
        </w:numPr>
      </w:pPr>
      <w:r>
        <w:t xml:space="preserve">Download the NCP onboarding CSV template.</w:t>
      </w:r>
    </w:p>
    <w:p>
      <w:pPr>
        <w:pStyle w:val="Compact"/>
        <w:numPr>
          <w:ilvl w:val="0"/>
          <w:numId w:val="1003"/>
        </w:numPr>
      </w:pPr>
      <w:r>
        <w:t xml:space="preserve">Fill in the NCP organizations and users.</w:t>
      </w:r>
    </w:p>
    <w:p>
      <w:pPr>
        <w:pStyle w:val="Compact"/>
        <w:numPr>
          <w:ilvl w:val="0"/>
          <w:numId w:val="1003"/>
        </w:numPr>
      </w:pPr>
      <w:r>
        <w:t xml:space="preserve">Upload. A background Temporal</w:t>
      </w:r>
      <w:r>
        <w:t xml:space="preserve"> </w:t>
      </w:r>
      <w:r>
        <w:rPr>
          <w:rStyle w:val="VerbatimChar"/>
        </w:rPr>
        <w:t xml:space="preserve">ProviderOnboardingWorkflow</w:t>
      </w:r>
      <w:r>
        <w:t xml:space="preserve"> </w:t>
      </w:r>
      <w:r>
        <w:t xml:space="preserve">validates the file, creates Keycloak organizations, users, roles and the</w:t>
      </w:r>
      <w:r>
        <w:t xml:space="preserve"> </w:t>
      </w:r>
      <w:r>
        <w:rPr>
          <w:rStyle w:val="VerbatimChar"/>
        </w:rPr>
        <w:t xml:space="preserve">offering-validator</w:t>
      </w:r>
      <w:r>
        <w:t xml:space="preserve"> </w:t>
      </w:r>
      <w:r>
        <w:t xml:space="preserve">group membership, and sends welcome emails.</w:t>
      </w:r>
    </w:p>
    <w:p>
      <w:pPr>
        <w:pStyle w:val="Compact"/>
        <w:numPr>
          <w:ilvl w:val="0"/>
          <w:numId w:val="1003"/>
        </w:numPr>
      </w:pPr>
      <w:r>
        <w:t xml:space="preserve">Watch status in the history table. Onboarding job statuses: QUEUED, VALIDATING, VALIDATION_FAILED, ONBOARDING, COMPLETED, FAILED.</w:t>
      </w:r>
    </w:p>
    <w:bookmarkStart w:id="12" w:name="Xa4373cae915cb1311794597e63d3f92739c56a0"/>
    <w:p>
      <w:pPr>
        <w:pStyle w:val="Heading3"/>
      </w:pPr>
      <w:r>
        <w:t xml:space="preserve">Review Onboarding Requests (access requests)</w:t>
      </w:r>
    </w:p>
    <w:p>
      <w:pPr>
        <w:pStyle w:val="FirstParagraph"/>
      </w:pPr>
      <w:r>
        <w:t xml:space="preserve">When the NPN portal integration is on, partner users whose NCP is not onboarded appear here.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provisions them like a CSV onboarding;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requires a reason and emails it. API:</w:t>
      </w:r>
      <w:r>
        <w:t xml:space="preserve"> </w:t>
      </w:r>
      <w:r>
        <w:rPr>
          <w:rStyle w:val="VerbatimChar"/>
        </w:rPr>
        <w:t xml:space="preserve">/api/v1/provider/access-requests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/reject</w:t>
      </w:r>
      <w:r>
        <w:t xml:space="preserve">).</w:t>
      </w:r>
    </w:p>
    <w:bookmarkEnd w:id="12"/>
    <w:bookmarkEnd w:id="13"/>
    <w:bookmarkStart w:id="14" w:name="custom-requests"/>
    <w:p>
      <w:pPr>
        <w:pStyle w:val="Heading2"/>
      </w:pPr>
      <w:r>
        <w:t xml:space="preserve">Custom requests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/provider/custom-requests</w:t>
      </w:r>
      <w:r>
        <w:t xml:space="preserve">. Table only (no split view, no NCP filter). Filter by Platform, Country, Geographical Region, Status, Sort.</w:t>
      </w:r>
    </w:p>
    <w:p>
      <w:pPr>
        <w:pStyle w:val="BodyText"/>
      </w:pPr>
      <w:r>
        <w:t xml:space="preserve">Lifecycle you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 Review</w:t>
      </w:r>
      <w:r>
        <w:t xml:space="preserve"> </w:t>
      </w:r>
      <w:r>
        <w:t xml:space="preserve">(you are working on 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Review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Matched</w:t>
      </w:r>
      <w:r>
        <w:t xml:space="preserve"> </w:t>
      </w:r>
      <w:r>
        <w:t xml:space="preserve">(</w:t>
      </w:r>
      <w:r>
        <w:rPr>
          <w:b/>
          <w:bCs/>
        </w:rPr>
        <w:t xml:space="preserve">Mark as Matched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Confirm Match</w:t>
      </w:r>
      <w:r>
        <w:t xml:space="preserve">, optionally record the NCP, NCP region and a comment)</w:t>
      </w:r>
      <w:r>
        <w:t xml:space="preserve"> </w:t>
      </w:r>
      <w:r>
        <w:t xml:space="preserve">- →</w:t>
      </w:r>
      <w:r>
        <w:t xml:space="preserve"> </w:t>
      </w:r>
      <w:r>
        <w:rPr>
          <w:b/>
          <w:bCs/>
        </w:rPr>
        <w:t xml:space="preserve">Unserviceable</w:t>
      </w:r>
      <w:r>
        <w:t xml:space="preserve"> </w:t>
      </w:r>
      <w:r>
        <w:t xml:space="preserve">(</w:t>
      </w:r>
      <w:r>
        <w:rPr>
          <w:b/>
          <w:bCs/>
        </w:rPr>
        <w:t xml:space="preserve">Close as Unserviceable</w:t>
      </w:r>
      <w:r>
        <w:t xml:space="preserve">)</w:t>
      </w:r>
      <w:r>
        <w:t xml:space="preserve"> </w:t>
      </w:r>
      <w:r>
        <w:t xml:space="preserve">- Customers alone can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while Open or In Review.</w:t>
      </w:r>
      <w:r>
        <w:t xml:space="preserve"> </w:t>
      </w:r>
      <w:r>
        <w:t xml:space="preserve">- Matched, Unserviceable and Cancelled are final; a request never returns to Open. The customer is emailed on each change.</w:t>
      </w:r>
    </w:p>
    <w:bookmarkEnd w:id="14"/>
    <w:bookmarkStart w:id="15" w:name="reservation-requests-across-all-ncps"/>
    <w:p>
      <w:pPr>
        <w:pStyle w:val="Heading2"/>
      </w:pPr>
      <w:r>
        <w:t xml:space="preserve">Reservation requests across all NCPs</w:t>
      </w:r>
    </w:p>
    <w:p>
      <w:pPr>
        <w:pStyle w:val="FirstParagraph"/>
      </w:pPr>
      <w:r>
        <w:t xml:space="preserve">The table view shows all requests platform-wide. Use the row action menu (⋮) to extend deadlines: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 Acceptance Duration</w:t>
            </w:r>
          </w:p>
        </w:tc>
        <w:tc>
          <w:tcPr/>
          <w:p>
            <w:pPr>
              <w:pStyle w:val="Compact"/>
            </w:pPr>
            <w:r>
              <w:t xml:space="preserve">Awaiting NCP Acceptance (or recently expired)</w:t>
            </w:r>
          </w:p>
        </w:tc>
        <w:tc>
          <w:tcPr/>
          <w:p>
            <w:pPr>
              <w:pStyle w:val="Compact"/>
            </w:pPr>
            <w:r>
              <w:t xml:space="preserve">Adds days to the NCP’s acceptance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 Contract Negotiation Duration</w:t>
            </w:r>
          </w:p>
        </w:tc>
        <w:tc>
          <w:tcPr/>
          <w:p>
            <w:pPr>
              <w:pStyle w:val="Compact"/>
            </w:pPr>
            <w:r>
              <w:t xml:space="preserve">In Process</w:t>
            </w:r>
          </w:p>
        </w:tc>
        <w:tc>
          <w:tcPr/>
          <w:p>
            <w:pPr>
              <w:pStyle w:val="Compact"/>
            </w:pPr>
            <w:r>
              <w:t xml:space="preserve">Adds days to the contract window</w:t>
            </w:r>
          </w:p>
        </w:tc>
      </w:tr>
    </w:tbl>
    <w:p>
      <w:pPr>
        <w:pStyle w:val="BodyText"/>
      </w:pPr>
      <w:r>
        <w:t xml:space="preserve">Enter 1 to 200 extra days, check the previewed new expiry date, and click</w:t>
      </w:r>
      <w:r>
        <w:t xml:space="preserve"> </w:t>
      </w:r>
      <w:r>
        <w:rPr>
          <w:b/>
          <w:bCs/>
        </w:rPr>
        <w:t xml:space="preserve">Confirm</w:t>
      </w:r>
      <w:r>
        <w:t xml:space="preserve">. Extending can revive an Expired offering back to its prior active status.</w:t>
      </w:r>
    </w:p>
    <w:bookmarkEnd w:id="15"/>
    <w:bookmarkStart w:id="16" w:name="user-operations"/>
    <w:p>
      <w:pPr>
        <w:pStyle w:val="Heading2"/>
      </w:pPr>
      <w:r>
        <w:t xml:space="preserve">User operations</w:t>
      </w:r>
    </w:p>
    <w:p>
      <w:pPr>
        <w:pStyle w:val="FirstParagraph"/>
      </w:pPr>
      <w:r>
        <w:t xml:space="preserve">Operations users (</w:t>
      </w:r>
      <w:r>
        <w:rPr>
          <w:rStyle w:val="VerbatimChar"/>
        </w:rPr>
        <w:t xml:space="preserve">operations</w:t>
      </w:r>
      <w:r>
        <w:t xml:space="preserve"> </w:t>
      </w:r>
      <w:r>
        <w:t xml:space="preserve">role) can activate pending users, list users, resend activation magic links and delete users through the Operations APIs (</w:t>
      </w:r>
      <w:r>
        <w:rPr>
          <w:rStyle w:val="VerbatimChar"/>
        </w:rPr>
        <w:t xml:space="preserve">/api/v1/...</w:t>
      </w:r>
      <w:r>
        <w:t xml:space="preserve"> </w:t>
      </w:r>
      <w:r>
        <w:t xml:space="preserve">under the Operations tag).</w:t>
      </w:r>
    </w:p>
    <w:bookmarkEnd w:id="16"/>
    <w:bookmarkStart w:id="17" w:name="daily-alert-email"/>
    <w:p>
      <w:pPr>
        <w:pStyle w:val="Heading2"/>
      </w:pPr>
      <w:r>
        <w:t xml:space="preserve">Daily alert email</w:t>
      </w:r>
    </w:p>
    <w:p>
      <w:pPr>
        <w:pStyle w:val="FirstParagraph"/>
      </w:pPr>
      <w:r>
        <w:t xml:space="preserve">Every day at 09:00 UTC a Temporal schedule (</w:t>
      </w:r>
      <w:r>
        <w:rPr>
          <w:rStyle w:val="VerbatimChar"/>
        </w:rPr>
        <w:t xml:space="preserve">in-process-requests-alert-daily</w:t>
      </w:r>
      <w:r>
        <w:t xml:space="preserve">) emails Platform Admins a digest of In Process offerings approaching their contract deadline.</w:t>
      </w:r>
    </w:p>
    <w:bookmarkEnd w:id="17"/>
    <w:bookmarkStart w:id="18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The external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link opens Superset. See the analytics document for the dashboards (Marketplace metrics and Feedback).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2026-10-16T06:45:22Z</dcterms:created>
  <dcterms:modified xsi:type="dcterms:W3CDTF">2026-10-16T06:45:22Z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Platform Admin Guide</vt:lpwstr>
  </property>
</Properties>
</file>