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9ce2c6c92eb4e8bddeec556523d63f56367929a"/>
    <w:p>
      <w:pPr>
        <w:pStyle w:val="Heading1"/>
      </w:pPr>
      <w:r>
        <w:t xml:space="preserve">Compute Match — GPU Capacity Model and CSV Import Workflow</w:t>
      </w:r>
    </w:p>
    <w:bookmarkStart w:id="9" w:name="gpu-offering-data-model"/>
    <w:p>
      <w:pPr>
        <w:pStyle w:val="Heading2"/>
      </w:pPr>
      <w:r>
        <w:t xml:space="preserve">GPU offering data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GPU offering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backend/core/gpu_offering/gpu_offering.py</w:t>
      </w:r>
      <w:r>
        <w:t xml:space="preserve">) represents a GPU cluster type an NCP offers:</w:t>
      </w:r>
    </w:p>
    <w:p>
      <w:pPr>
        <w:pStyle w:val="Compact"/>
        <w:numPr>
          <w:ilvl w:val="0"/>
          <w:numId w:val="1001"/>
        </w:numPr>
      </w:pPr>
      <w:r>
        <w:t xml:space="preserve">GPU model / platform (for example H100, H200, B200, GB200)</w:t>
      </w:r>
    </w:p>
    <w:p>
      <w:pPr>
        <w:pStyle w:val="Compact"/>
        <w:numPr>
          <w:ilvl w:val="0"/>
          <w:numId w:val="1001"/>
        </w:numPr>
      </w:pPr>
      <w:r>
        <w:t xml:space="preserve">Provider organization and</w:t>
      </w:r>
      <w:r>
        <w:t xml:space="preserve"> </w:t>
      </w:r>
      <w:r>
        <w:rPr>
          <w:b/>
          <w:bCs/>
        </w:rPr>
        <w:t xml:space="preserve">hosting provider</w:t>
      </w:r>
      <w:r>
        <w:t xml:space="preserve"> </w:t>
      </w:r>
      <w:r>
        <w:t xml:space="preserve">(the NCP’s data-center brand)</w:t>
      </w:r>
    </w:p>
    <w:p>
      <w:pPr>
        <w:pStyle w:val="Compact"/>
        <w:numPr>
          <w:ilvl w:val="0"/>
          <w:numId w:val="1001"/>
        </w:numPr>
      </w:pPr>
      <w:r>
        <w:t xml:space="preserve">Description, product link (must be HTTP(S)), VRAM (positive if set)</w:t>
      </w:r>
    </w:p>
    <w:p>
      <w:pPr>
        <w:pStyle w:val="Compact"/>
        <w:numPr>
          <w:ilvl w:val="0"/>
          <w:numId w:val="1001"/>
        </w:numPr>
      </w:pPr>
      <w:r>
        <w:t xml:space="preserve">Interconnect:</w:t>
      </w:r>
      <w:r>
        <w:t xml:space="preserve"> </w:t>
      </w:r>
      <w:r>
        <w:rPr>
          <w:rStyle w:val="VerbatimChar"/>
        </w:rPr>
        <w:t xml:space="preserve">InfiniBand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Spectrum-X</w:t>
      </w:r>
    </w:p>
    <w:p>
      <w:pPr>
        <w:pStyle w:val="Compact"/>
        <w:numPr>
          <w:ilvl w:val="0"/>
          <w:numId w:val="1001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(listed to customers),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(awaiting admin review),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01"/>
        </w:numPr>
      </w:pPr>
      <w:r>
        <w:t xml:space="preserve">One or more</w:t>
      </w:r>
      <w:r>
        <w:t xml:space="preserve"> </w:t>
      </w:r>
      <w:r>
        <w:rPr>
          <w:b/>
          <w:bCs/>
        </w:rPr>
        <w:t xml:space="preserve">regional capacities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regional capacity</w:t>
      </w:r>
      <w:r>
        <w:t xml:space="preserve"> </w:t>
      </w:r>
      <w:r>
        <w:t xml:space="preserve">ties the offering to a location: geographical region, country, address and latitude/longitude, with a list of</w:t>
      </w:r>
      <w:r>
        <w:t xml:space="preserve"> </w:t>
      </w:r>
      <w:r>
        <w:rPr>
          <w:b/>
          <w:bCs/>
        </w:rPr>
        <w:t xml:space="preserve">capacity windows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capacity window</w:t>
      </w:r>
      <w:r>
        <w:t xml:space="preserve"> </w:t>
      </w:r>
      <w:r>
        <w:t xml:space="preserve">has a date range (finite or open-ended), GPU count, delivery id, block location, a</w:t>
      </w:r>
      <w:r>
        <w:t xml:space="preserve"> </w:t>
      </w:r>
      <w:r>
        <w:rPr>
          <w:b/>
          <w:bCs/>
        </w:rPr>
        <w:t xml:space="preserve">capacity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) and an AI-compute flag.</w:t>
      </w:r>
    </w:p>
    <w:p>
      <w:pPr>
        <w:pStyle w:val="BodyText"/>
      </w:pPr>
      <w:r>
        <w:t xml:space="preserve">Reference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— a data-center location belonging to a hosting provider and a geographical region.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Geographical region</w:t>
      </w:r>
      <w:r>
        <w:t xml:space="preserve"> </w:t>
      </w:r>
      <w:r>
        <w:t xml:space="preserve">— a broad area with a code, display name and list of ISO country codes.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model</w:t>
      </w:r>
      <w:r>
        <w:t xml:space="preserve"> </w:t>
      </w:r>
      <w:r>
        <w:t xml:space="preserve">— catalog of platform names.</w:t>
      </w:r>
    </w:p>
    <w:bookmarkEnd w:id="9"/>
    <w:bookmarkStart w:id="12" w:name="csv-capacity-import-end-to-end-flow"/>
    <w:p>
      <w:pPr>
        <w:pStyle w:val="Heading2"/>
      </w:pPr>
      <w:r>
        <w:t xml:space="preserve">CSV capacity import — end-to-end 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Upload.</w:t>
      </w:r>
      <w:r>
        <w:t xml:space="preserve"> </w:t>
      </w:r>
      <w:r>
        <w:t xml:space="preserve">An NCP with</w:t>
      </w:r>
      <w:r>
        <w:t xml:space="preserve"> </w:t>
      </w:r>
      <w:r>
        <w:rPr>
          <w:rStyle w:val="VerbatimChar"/>
        </w:rPr>
        <w:t xml:space="preserve">manage_inventory</w:t>
      </w:r>
      <w:r>
        <w:t xml:space="preserve"> </w:t>
      </w:r>
      <w:r>
        <w:t xml:space="preserve">uploads a CSV on</w:t>
      </w:r>
      <w:r>
        <w:t xml:space="preserve"> </w:t>
      </w:r>
      <w:r>
        <w:rPr>
          <w:b/>
          <w:bCs/>
        </w:rPr>
        <w:t xml:space="preserve">Upload Capacities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/api/v1/provider/gpu-offerings/import</w:t>
      </w:r>
      <w:r>
        <w:t xml:space="preserve">, returns 202 Accepted). The backend checks size (10 MB) and row count (10,000).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Job created.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ImportJob</w:t>
      </w:r>
      <w:r>
        <w:t xml:space="preserve"> </w:t>
      </w:r>
      <w:r>
        <w:t xml:space="preserve">is stored with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and Temporal workflow</w:t>
      </w:r>
      <w:r>
        <w:t xml:space="preserve"> </w:t>
      </w:r>
      <w:r>
        <w:rPr>
          <w:rStyle w:val="VerbatimChar"/>
        </w:rPr>
        <w:t xml:space="preserve">CsvImportWorkflow</w:t>
      </w:r>
      <w:r>
        <w:t xml:space="preserve"> </w:t>
      </w:r>
      <w:r>
        <w:t xml:space="preserve">starts with id</w:t>
      </w:r>
      <w:r>
        <w:t xml:space="preserve"> </w:t>
      </w:r>
      <w:r>
        <w:rPr>
          <w:rStyle w:val="VerbatimChar"/>
        </w:rPr>
        <w:t xml:space="preserve">csv-import-{job_id}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Validate.</w:t>
      </w:r>
      <w:r>
        <w:t xml:space="preserve"> </w:t>
      </w:r>
      <w:r>
        <w:t xml:space="preserve">The worker validates columns and rows (</w:t>
      </w:r>
      <w:r>
        <w:rPr>
          <w:rStyle w:val="VerbatimChar"/>
        </w:rPr>
        <w:t xml:space="preserve">VALIDATING</w:t>
      </w:r>
      <w:r>
        <w:t xml:space="preserve">). If nothing is valid →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Import.</w:t>
      </w:r>
      <w:r>
        <w:t xml:space="preserve"> </w:t>
      </w:r>
      <w:r>
        <w:t xml:space="preserve">Valid rows are imported atomically (</w:t>
      </w:r>
      <w:r>
        <w:rPr>
          <w:rStyle w:val="VerbatimChar"/>
        </w:rPr>
        <w:t xml:space="preserve">IMPORTING</w:t>
      </w:r>
      <w:r>
        <w:t xml:space="preserve">). Failures here →</w:t>
      </w:r>
      <w:r>
        <w:t xml:space="preserve"> </w:t>
      </w:r>
      <w:r>
        <w:rPr>
          <w:rStyle w:val="VerbatimChar"/>
        </w:rPr>
        <w:t xml:space="preserve">IMPORT_FAILED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Classify.</w:t>
      </w:r>
      <w:r>
        <w:t xml:space="preserve"> </w:t>
      </w:r>
      <w:r>
        <w:t xml:space="preserve">Rows starting within 90 days of upload become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and are published immediately. Rows starting later become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(future only).</w:t>
      </w:r>
      <w:r>
        <w:t xml:space="preserve"> </w:t>
      </w:r>
      <w:r>
        <w:t xml:space="preserve">If there are new future rows, the job moves to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 admins are emailed, and the workflow waits for an</w:t>
      </w:r>
      <w:r>
        <w:t xml:space="preserve"> </w:t>
      </w:r>
      <w:r>
        <w:rPr>
          <w:rStyle w:val="VerbatimChar"/>
        </w:rPr>
        <w:t xml:space="preserve">approve_import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reject_import</w:t>
      </w:r>
      <w:r>
        <w:t xml:space="preserve"> </w:t>
      </w:r>
      <w:r>
        <w:t xml:space="preserve">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Decision.</w:t>
      </w:r>
      <w:r>
        <w:t xml:space="preserve"> </w:t>
      </w:r>
      <w:r>
        <w:t xml:space="preserve">A Platform Admin with</w:t>
      </w:r>
      <w:r>
        <w:t xml:space="preserve"> </w:t>
      </w:r>
      <w:r>
        <w:rPr>
          <w:rStyle w:val="VerbatimChar"/>
        </w:rPr>
        <w:t xml:space="preserve">review_capacity</w:t>
      </w:r>
      <w:r>
        <w:t xml:space="preserve"> </w:t>
      </w:r>
      <w:r>
        <w:t xml:space="preserve">accepts 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offerings activated) or rejects (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FUTURE_CAPACITY_REJECTED</w:t>
      </w:r>
      <w:r>
        <w:t xml:space="preserve">, with reason).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Notify.</w:t>
      </w:r>
      <w:r>
        <w:t xml:space="preserve"> </w:t>
      </w:r>
      <w:r>
        <w:t xml:space="preserve">The NCP is emailed the result.</w:t>
      </w:r>
    </w:p>
    <w:bookmarkStart w:id="10" w:name="import-job-statuses"/>
    <w:p>
      <w:pPr>
        <w:pStyle w:val="Heading3"/>
      </w:pPr>
      <w:r>
        <w:t xml:space="preserve">Import job statuses</w:t>
      </w:r>
    </w:p>
    <w:p>
      <w:pPr>
        <w:pStyle w:val="FirstParagraph"/>
      </w:pP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FUTURE_CAPACITY_REJECTED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t xml:space="preserve">UI labels: Processing, Pending Review, Completed, Rejected, Validation Failed.</w:t>
      </w:r>
    </w:p>
    <w:bookmarkEnd w:id="10"/>
    <w:bookmarkStart w:id="11" w:name="retry-behaviour"/>
    <w:p>
      <w:pPr>
        <w:pStyle w:val="Heading3"/>
      </w:pPr>
      <w:r>
        <w:t xml:space="preserve">Retry behaviour</w:t>
      </w:r>
    </w:p>
    <w:p>
      <w:pPr>
        <w:pStyle w:val="Compact"/>
        <w:numPr>
          <w:ilvl w:val="0"/>
          <w:numId w:val="1003"/>
        </w:numPr>
      </w:pPr>
      <w:r>
        <w:t xml:space="preserve">Import activities retry up to 3 times; validation and CSV-format errors are not retried.</w:t>
      </w:r>
    </w:p>
    <w:p>
      <w:pPr>
        <w:pStyle w:val="Compact"/>
        <w:numPr>
          <w:ilvl w:val="0"/>
          <w:numId w:val="1003"/>
        </w:numPr>
      </w:pPr>
      <w:r>
        <w:t xml:space="preserve">The workflow itself runs at most once, so users never get duplicate emails from replays.</w:t>
      </w:r>
    </w:p>
    <w:bookmarkEnd w:id="11"/>
    <w:bookmarkEnd w:id="12"/>
    <w:bookmarkStart w:id="13" w:name="csv-columns"/>
    <w:p>
      <w:pPr>
        <w:pStyle w:val="Heading2"/>
      </w:pPr>
      <w:r>
        <w:t xml:space="preserve">CSV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Platform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Vendor prefix such as</w:t>
            </w:r>
            <w:r>
              <w:t xml:space="preserve"> </w:t>
            </w:r>
            <w:r>
              <w:t xml:space="preserve">“NVIDIA”</w:t>
            </w:r>
            <w:r>
              <w:t xml:space="preserve"> </w:t>
            </w:r>
            <w:r>
              <w:t xml:space="preserve">tolerated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GPUs Available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Positive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Token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Start of availability; decides AVAILABLE vs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Names normalized (</w:t>
            </w:r>
            <w:r>
              <w:t xml:space="preserve">“USA”</w:t>
            </w:r>
            <w:r>
              <w:t xml:space="preserve"> </w:t>
            </w:r>
            <w:r>
              <w:t xml:space="preserve">→ United States,</w:t>
            </w:r>
            <w:r>
              <w:t xml:space="preserve"> </w:t>
            </w:r>
            <w:r>
              <w:t xml:space="preserve">“Holland”</w:t>
            </w:r>
            <w:r>
              <w:t xml:space="preserve"> </w:t>
            </w:r>
            <w:r>
              <w:t xml:space="preserve">→ Netherlands)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Matched against a city index with alternate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 of availability; open-ended if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Name, RA/RD, Exemplar Cluster, aaS Capability, State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Metadata, ignored on import</w:t>
            </w:r>
          </w:p>
        </w:tc>
      </w:tr>
    </w:tbl>
    <w:p>
      <w:pPr>
        <w:pStyle w:val="BodyText"/>
      </w:pPr>
      <w:r>
        <w:t xml:space="preserve">Limits: UTF-8, 10 MB, 10,000 rows, 500 characters per cell. Formula-like cells (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) are neutralized.</w:t>
      </w:r>
    </w:p>
    <w:p>
      <w:pPr>
        <w:pStyle w:val="BodyText"/>
      </w:pPr>
      <w:r>
        <w:t xml:space="preserve">Note: the in-app User Manual still says 1,000 rows; the backend enforces 10,000 (</w:t>
      </w:r>
      <w:r>
        <w:rPr>
          <w:rStyle w:val="VerbatimChar"/>
        </w:rPr>
        <w:t xml:space="preserve">MAX_CSV_ROWS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backend/core/gpu_offering/gpu_offering_csv_import_fields.py</w:t>
      </w:r>
      <w:r>
        <w:t xml:space="preserve">).</w:t>
      </w:r>
    </w:p>
    <w:bookmarkEnd w:id="13"/>
    <w:bookmarkStart w:id="14" w:name="ncp-onboarding-csv"/>
    <w:p>
      <w:pPr>
        <w:pStyle w:val="Heading2"/>
      </w:pPr>
      <w:r>
        <w:t xml:space="preserve">NCP onboarding CSV</w:t>
      </w:r>
    </w:p>
    <w:p>
      <w:pPr>
        <w:pStyle w:val="FirstParagraph"/>
      </w:pPr>
      <w:r>
        <w:t xml:space="preserve">Admins with</w:t>
      </w:r>
      <w:r>
        <w:t xml:space="preserve"> </w:t>
      </w:r>
      <w:r>
        <w:rPr>
          <w:rStyle w:val="VerbatimChar"/>
        </w:rPr>
        <w:t xml:space="preserve">manage_ncp</w:t>
      </w:r>
      <w:r>
        <w:t xml:space="preserve"> </w:t>
      </w:r>
      <w:r>
        <w:t xml:space="preserve">upload an onboarding CSV (</w:t>
      </w:r>
      <w:r>
        <w:rPr>
          <w:rStyle w:val="VerbatimChar"/>
        </w:rPr>
        <w:t xml:space="preserve">POST /api/v1/provider/onboard-providers</w:t>
      </w:r>
      <w:r>
        <w:t xml:space="preserve">).</w:t>
      </w:r>
      <w:r>
        <w:t xml:space="preserve"> </w:t>
      </w:r>
      <w:r>
        <w:rPr>
          <w:rStyle w:val="VerbatimChar"/>
        </w:rPr>
        <w:t xml:space="preserve">ProviderOnboardingWorkflow</w:t>
      </w:r>
      <w:r>
        <w:t xml:space="preserve"> </w:t>
      </w:r>
      <w:r>
        <w:t xml:space="preserve">validates it, creates Keycloak organizations, users, roles and group memberships (30-minute timeout), then emails the initiator. Statuses: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bookmarkEnd w:id="14"/>
    <w:bookmarkStart w:id="15" w:name="legacy-bootstrap-importers"/>
    <w:p>
      <w:pPr>
        <w:pStyle w:val="Heading2"/>
      </w:pPr>
      <w:r>
        <w:t xml:space="preserve">Legacy bootstrap importers</w:t>
      </w:r>
    </w:p>
    <w:p>
      <w:pPr>
        <w:pStyle w:val="FirstParagraph"/>
      </w:pPr>
      <w:r>
        <w:t xml:space="preserve">For seeding environments there are offline scripts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import_excel_gpu_data.py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EXCEL_IMPORT_README.md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csv_data_importer.py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csv_gpu_importer.py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generate_seed_data.py</w:t>
      </w:r>
      <w:r>
        <w:t xml:space="preserve">. They use an older column layout and are separate from the production Temporal import path.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2026-10-16T06:45:24Z</dcterms:created>
  <dcterms:modified xsi:type="dcterms:W3CDTF">2026-10-16T06:45:24Z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GPU Capacity Model and CSV Import Workflow</vt:lpwstr>
  </property>
</Properties>
</file>