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Xa2232501ae192fe9220c86e381ca0037156fe9a"/>
    <w:p>
      <w:pPr>
        <w:pStyle w:val="Heading1"/>
      </w:pPr>
      <w:r>
        <w:t xml:space="preserve">Compute Match — Security, Observability, Salesforce Integration and Testing</w:t>
      </w:r>
    </w:p>
    <w:bookmarkStart w:id="9" w:name="security-model"/>
    <w:p>
      <w:pPr>
        <w:pStyle w:val="Heading2"/>
      </w:pPr>
      <w:r>
        <w:t xml:space="preserve">Security model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Delivery identity:</w:t>
      </w:r>
      <w:r>
        <w:t xml:space="preserve"> </w:t>
      </w:r>
      <w:r>
        <w:t xml:space="preserve">GitLab OIDC with Google Workload Identity Federation; separate Google service accounts for plan, apply, deploy, verify and Keycloak.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Runtime identity:</w:t>
      </w:r>
      <w:r>
        <w:t xml:space="preserve"> </w:t>
      </w:r>
      <w:r>
        <w:t xml:space="preserve">Kubernetes service accounts mapped to Google service accounts; secrets from Secret Manager with least privilege; Cloud SQL Auth Proxy; separate database roles (for example the audit-retention role can only SELECT and DELETE).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Network:</w:t>
      </w:r>
      <w:r>
        <w:t xml:space="preserve"> </w:t>
      </w:r>
      <w:r>
        <w:t xml:space="preserve">NetworkPolicies, private Cloud SQL and Redis, Cloud Armor and Gateway at the edge.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Keycloak JWTs with audiences per client (</w:t>
      </w:r>
      <w:r>
        <w:rPr>
          <w:rStyle w:val="VerbatimChar"/>
        </w:rPr>
        <w:t xml:space="preserve">customer-web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workflow-worker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audit-listener</w:t>
      </w:r>
      <w:r>
        <w:t xml:space="preserve">…). Internal Salesforce and audit endpoints only accept a pinned caller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. CSV cells are sanitized against formula injection. Personal email domains are blocked.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Repository:</w:t>
      </w:r>
      <w:r>
        <w:t xml:space="preserve"> </w:t>
      </w:r>
      <w:r>
        <w:t xml:space="preserve">protected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CODEOWNERS, secret scanning (gitleaks, trufflehog, talisman), no secrets in manifests or docs.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Audit:</w:t>
      </w:r>
      <w:r>
        <w:t xml:space="preserve"> </w:t>
      </w:r>
      <w:r>
        <w:t xml:space="preserve">Keycloak login/logout events and domain actions are written to an audit log, kept about 13 months then purged by</w:t>
      </w:r>
      <w:r>
        <w:t xml:space="preserve"> </w:t>
      </w:r>
      <w:r>
        <w:rPr>
          <w:rStyle w:val="VerbatimChar"/>
        </w:rPr>
        <w:t xml:space="preserve">AuditRetentionWorkflow</w:t>
      </w:r>
      <w:r>
        <w:t xml:space="preserve">.</w:t>
      </w:r>
    </w:p>
    <w:bookmarkEnd w:id="9"/>
    <w:bookmarkStart w:id="10" w:name="observability"/>
    <w:p>
      <w:pPr>
        <w:pStyle w:val="Heading2"/>
      </w:pPr>
      <w:r>
        <w:t xml:space="preserve">Observability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Logs:</w:t>
      </w:r>
      <w:r>
        <w:t xml:space="preserve"> </w:t>
      </w:r>
      <w:r>
        <w:t xml:space="preserve">every owned service writes JSON Lines to stdout using</w:t>
      </w:r>
      <w:r>
        <w:t xml:space="preserve"> </w:t>
      </w:r>
      <w:r>
        <w:rPr>
          <w:b/>
          <w:bCs/>
        </w:rPr>
        <w:t xml:space="preserve">Log Record v2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docs/architecture/logging/log-record-v2.md</w:t>
      </w:r>
      <w:r>
        <w:t xml:space="preserve">):</w:t>
      </w:r>
      <w:r>
        <w:t xml:space="preserve"> </w:t>
      </w:r>
      <w:r>
        <w:rPr>
          <w:rStyle w:val="VerbatimChar"/>
        </w:rPr>
        <w:t xml:space="preserve">log_schema_version: 2</w:t>
      </w:r>
      <w:r>
        <w:t xml:space="preserve">, severity,</w:t>
      </w:r>
      <w:r>
        <w:t xml:space="preserve"> </w:t>
      </w:r>
      <w:r>
        <w:rPr>
          <w:rStyle w:val="VerbatimChar"/>
        </w:rPr>
        <w:t xml:space="preserve">event_name</w:t>
      </w:r>
      <w:r>
        <w:t xml:space="preserve">, resource, source, optional trace context, attributes and exception. Unsafe fields are redacted; no PII or secrets in attributes.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 catalog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docs/architecture/logging/event-catalog.md</w:t>
      </w:r>
      <w:r>
        <w:t xml:space="preserve">): for example</w:t>
      </w:r>
      <w:r>
        <w:t xml:space="preserve"> </w:t>
      </w:r>
      <w:r>
        <w:rPr>
          <w:rStyle w:val="VerbatimChar"/>
        </w:rPr>
        <w:t xml:space="preserve">workflow.started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workflow.completed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workflow.failed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reservation.request.*</w:t>
      </w:r>
      <w:r>
        <w:t xml:space="preserve">,</w:t>
      </w:r>
      <w:r>
        <w:t xml:space="preserve"> </w:t>
      </w:r>
      <w:r>
        <w:rPr>
          <w:rStyle w:val="VerbatimChar"/>
        </w:rPr>
        <w:t xml:space="preserve">csv_import.*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provider_onboarding.*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integration.salesforce.failed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notification.delivery.failed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authorization.denied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Traces and metrics:</w:t>
      </w:r>
      <w:r>
        <w:t xml:space="preserve"> </w:t>
      </w:r>
      <w:r>
        <w:t xml:space="preserve">OpenTelemetry in frontend, backend, worker (Temporal TracingInterceptor) and Keycloak. In GCP the Helm</w:t>
      </w:r>
      <w:r>
        <w:t xml:space="preserve"> </w:t>
      </w:r>
      <w:r>
        <w:rPr>
          <w:rStyle w:val="VerbatimChar"/>
        </w:rPr>
        <w:t xml:space="preserve">otel-collector</w:t>
      </w:r>
      <w:r>
        <w:t xml:space="preserve"> </w:t>
      </w:r>
      <w:r>
        <w:t xml:space="preserve">exports to Google Cloud; logs go to Cloud Logging. Locally, optional SigNoz (</w:t>
      </w:r>
      <w:r>
        <w:rPr>
          <w:rStyle w:val="VerbatimChar"/>
        </w:rPr>
        <w:t xml:space="preserve">make obs-start</w:t>
      </w:r>
      <w:r>
        <w:t xml:space="preserve">, UI on port 3301).</w:t>
      </w:r>
    </w:p>
    <w:p>
      <w:pPr>
        <w:pStyle w:val="Compact"/>
        <w:numPr>
          <w:ilvl w:val="0"/>
          <w:numId w:val="1002"/>
        </w:numPr>
      </w:pPr>
      <w:r>
        <w:t xml:space="preserve">Runbooks:</w:t>
      </w:r>
      <w:r>
        <w:t xml:space="preserve"> </w:t>
      </w:r>
      <w:r>
        <w:rPr>
          <w:rStyle w:val="VerbatimChar"/>
        </w:rPr>
        <w:t xml:space="preserve">docs/operations/*-observability.md</w:t>
      </w:r>
      <w:r>
        <w:t xml:space="preserve"> </w:t>
      </w:r>
      <w:r>
        <w:t xml:space="preserve">for backend, frontend, worker, Keycloak, Superset and gateway.</w:t>
      </w:r>
    </w:p>
    <w:bookmarkEnd w:id="10"/>
    <w:bookmarkStart w:id="11" w:name="salesforce-integration-adr-001"/>
    <w:p>
      <w:pPr>
        <w:pStyle w:val="Heading2"/>
      </w:pPr>
      <w:r>
        <w:t xml:space="preserve">Salesforce integration (ADR-001)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Direction:</w:t>
      </w:r>
      <w:r>
        <w:t xml:space="preserve"> </w:t>
      </w:r>
      <w:r>
        <w:t xml:space="preserve">one-way, Compute Match → Salesforce</w:t>
      </w:r>
      <w:r>
        <w:t xml:space="preserve"> </w:t>
      </w:r>
      <w:r>
        <w:rPr>
          <w:b/>
          <w:bCs/>
        </w:rPr>
        <w:t xml:space="preserve">Offtake</w:t>
      </w:r>
      <w:r>
        <w:t xml:space="preserve"> </w:t>
      </w:r>
      <w:r>
        <w:t xml:space="preserve">object (</w:t>
      </w:r>
      <w:r>
        <w:rPr>
          <w:rStyle w:val="VerbatimChar"/>
        </w:rPr>
        <w:t xml:space="preserve">Offtake_Request__c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Pattern:</w:t>
      </w:r>
      <w:r>
        <w:t xml:space="preserve"> </w:t>
      </w:r>
      <w:r>
        <w:t xml:space="preserve">transactional outbox table</w:t>
      </w:r>
      <w:r>
        <w:t xml:space="preserve"> </w:t>
      </w:r>
      <w:r>
        <w:rPr>
          <w:rStyle w:val="VerbatimChar"/>
        </w:rPr>
        <w:t xml:space="preserve">salesforce_create_sync</w:t>
      </w:r>
      <w:r>
        <w:t xml:space="preserve">, drained by Temporal</w:t>
      </w:r>
      <w:r>
        <w:t xml:space="preserve"> </w:t>
      </w:r>
      <w:r>
        <w:rPr>
          <w:rStyle w:val="VerbatimChar"/>
        </w:rPr>
        <w:t xml:space="preserve">SfdcCreateBatchWorkflow</w:t>
      </w:r>
      <w:r>
        <w:t xml:space="preserve"> </w:t>
      </w:r>
      <w:r>
        <w:t xml:space="preserve">which calls backend internal APIs (domain stays in the backend). No Kafka or Pub/Sub.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Granularity:</w:t>
      </w:r>
      <w:r>
        <w:t xml:space="preserve"> </w:t>
      </w:r>
      <w:r>
        <w:t xml:space="preserve">one Offtake per NCP offering (external id</w:t>
      </w:r>
      <w:r>
        <w:t xml:space="preserve"> </w:t>
      </w:r>
      <w:r>
        <w:rPr>
          <w:rStyle w:val="VerbatimChar"/>
        </w:rPr>
        <w:t xml:space="preserve">Reservation_Request_Offering_Id__c</w:t>
      </w:r>
      <w:r>
        <w:t xml:space="preserve">); open custom requests get one create-only Offtake keyed by the request 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Jobs:</w:t>
      </w:r>
      <w:r>
        <w:t xml:space="preserve"> </w:t>
      </w:r>
      <w:r>
        <w:t xml:space="preserve">nightly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(05:00 UTC, full projection) and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every 2 minutes (status and, when Contracted, negotiated terms). Upserts use the sObject Collections external-id API, up to 200 records per call.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Reliability:</w:t>
      </w:r>
      <w:r>
        <w:t xml:space="preserve"> </w:t>
      </w:r>
      <w:r>
        <w:t xml:space="preserve">outbox states PENDING, SYNCED, FAILED; retries for Salesforce outages; mandatory failure summary email; audit events</w:t>
      </w:r>
      <w:r>
        <w:t xml:space="preserve"> </w:t>
      </w:r>
      <w:r>
        <w:rPr>
          <w:rStyle w:val="VerbatimChar"/>
        </w:rPr>
        <w:t xml:space="preserve">SFDC_OFFTAKE_SYNCED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SFDC_OFFTAKE_SYNC_FAILED</w:t>
      </w:r>
      <w:r>
        <w:t xml:space="preserve"> </w:t>
      </w:r>
      <w:r>
        <w:t xml:space="preserve">written atomically with the outbox.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Toggles:</w:t>
      </w:r>
      <w:r>
        <w:t xml:space="preserve"> </w:t>
      </w:r>
      <w:r>
        <w:rPr>
          <w:rStyle w:val="VerbatimChar"/>
        </w:rPr>
        <w:t xml:space="preserve">SFDC_SYNC_ENABLED</w:t>
      </w:r>
      <w:r>
        <w:t xml:space="preserve">; partner-domain read sync separately with</w:t>
      </w:r>
      <w:r>
        <w:t xml:space="preserve"> </w:t>
      </w:r>
      <w:r>
        <w:rPr>
          <w:rStyle w:val="VerbatimChar"/>
        </w:rPr>
        <w:t xml:space="preserve">SFDC_PARTNER_DOMAIN_SYNC_ENABLED</w:t>
      </w:r>
      <w:r>
        <w:t xml:space="preserve">.</w:t>
      </w:r>
    </w:p>
    <w:bookmarkEnd w:id="11"/>
    <w:bookmarkStart w:id="12" w:name="testing"/>
    <w:p>
      <w:pPr>
        <w:pStyle w:val="Heading2"/>
      </w:pPr>
      <w:r>
        <w:t xml:space="preserve">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pytest, TestContainers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test-backend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Jest 30, React Testing Library, jest-axe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test-frontend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npm run 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test:a11y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quality-gate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Workflows / worker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Playwright + Cucumber (Gherkin) in</w:t>
            </w:r>
            <w:r>
              <w:t xml:space="preserve"> </w:t>
            </w:r>
            <w:r>
              <w:rPr>
                <w:rStyle w:val="VerbatimChar"/>
              </w:rPr>
              <w:t xml:space="preserve">e2e_playwright/</w:t>
            </w:r>
          </w:p>
        </w:tc>
        <w:tc>
          <w:tcPr/>
          <w:p>
            <w:pPr>
              <w:pStyle w:val="Compact"/>
            </w:pPr>
            <w:r>
              <w:t xml:space="preserve">see its README</w:t>
            </w:r>
          </w:p>
        </w:tc>
      </w:tr>
    </w:tbl>
    <w:p>
      <w:pPr>
        <w:pStyle w:val="BodyText"/>
      </w:pPr>
      <w:r>
        <w:t xml:space="preserve">E2E features cover Authentication, CustomerWorkflow, ProviderWorkflow and AdminWorkflow, using page objects in</w:t>
      </w:r>
      <w:r>
        <w:t xml:space="preserve"> </w:t>
      </w:r>
      <w:r>
        <w:rPr>
          <w:rStyle w:val="VerbatimChar"/>
        </w:rPr>
        <w:t xml:space="preserve">src/PageObjects/</w:t>
      </w:r>
      <w:r>
        <w:t xml:space="preserve"> </w:t>
      </w:r>
      <w:r>
        <w:t xml:space="preserve">and step definitions in</w:t>
      </w:r>
      <w:r>
        <w:t xml:space="preserve"> </w:t>
      </w:r>
      <w:r>
        <w:rPr>
          <w:rStyle w:val="VerbatimChar"/>
        </w:rPr>
        <w:t xml:space="preserve">src/Specs/</w:t>
      </w:r>
      <w:r>
        <w:t xml:space="preserve">. Choose the target with</w:t>
      </w:r>
      <w:r>
        <w:t xml:space="preserve"> </w:t>
      </w:r>
      <w:r>
        <w:rPr>
          <w:rStyle w:val="VerbatimChar"/>
        </w:rPr>
        <w:t xml:space="preserve">TEST_ENV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computematch-dev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computematch-qa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computematch-stg</w:t>
      </w:r>
      <w:r>
        <w:t xml:space="preserve">). Secrets go in a Git-ignored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 HTML reports are written to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.</w:t>
      </w:r>
      <w:r>
        <w:t xml:space="preserve"> </w:t>
      </w:r>
      <w:r>
        <w:rPr>
          <w:rStyle w:val="VerbatimChar"/>
        </w:rPr>
        <w:t xml:space="preserve">make verify</w:t>
      </w:r>
      <w:r>
        <w:t xml:space="preserve"> </w:t>
      </w:r>
      <w:r>
        <w:t xml:space="preserve">does not run the E2E suite.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2026-10-16T06:45:31Z</dcterms:created>
  <dcterms:modified xsi:type="dcterms:W3CDTF">2026-10-16T06:45:31Z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Security, Observability, Salesforce Integration and Testing</vt:lpwstr>
  </property>
</Properties>
</file>