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2E5AAC"/>
          <w:sz w:val="40"/>
          <w:szCs w:val="40"/>
        </w:rPr>
        <w:t xml:space="preserve">ASAN INNOVATORS</w:t>
      </w:r>
    </w:p>
    <w:p>
      <w:pPr>
        <w:pBdr>
          <w:bottom w:val="single" w:color="2E5AAC" w:sz="6" w:space="4"/>
        </w:pBdr>
        <w:spacing w:after="240"/>
      </w:pPr>
      <w:r>
        <w:rPr>
          <w:i/>
          <w:iCs/>
          <w:color w:val="555555"/>
          <w:sz w:val="22"/>
          <w:szCs w:val="22"/>
        </w:rPr>
        <w:t xml:space="preserve">Building Beyond Boundaries</w:t>
      </w:r>
    </w:p>
    <w:p>
      <w:pPr>
        <w:spacing w:after="60" w:before="360"/>
      </w:pPr>
      <w:r>
        <w:rPr>
          <w:b/>
          <w:bCs/>
          <w:sz w:val="36"/>
          <w:szCs w:val="36"/>
        </w:rPr>
        <w:t xml:space="preserve">Statement of Work</w:t>
      </w:r>
    </w:p>
    <w:p>
      <w:pPr>
        <w:spacing w:after="240"/>
      </w:pPr>
      <w:r>
        <w:rPr>
          <w:color w:val="333333"/>
          <w:sz w:val="26"/>
          <w:szCs w:val="26"/>
        </w:rPr>
        <w:t xml:space="preserve">Prime Tracker — Interior / Fit-Out Module &amp; Sale Payment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Kalyan Kumar Bedugam (AK), Asan Innovators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Prepared for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Prime Developers — Attn: Founder / Co-Founder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Statement of Work (SOW)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v1.0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30 May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Engagement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Prime Tracker platform extension — two coupled feature modules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Project Start 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____________________  (to be confirmed on signature)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after="120"/>
      </w:pPr>
      <w:r>
        <w:t xml:space="preserve">Client: Prime Developers (the “Client”).</w:t>
      </w:r>
    </w:p>
    <w:p>
      <w:pPr>
        <w:spacing w:after="120"/>
      </w:pPr>
      <w:r>
        <w:t xml:space="preserve">Provider: Asan Innovators (the “Provider”).</w:t>
      </w:r>
    </w:p>
    <w:p>
      <w:pPr>
        <w:spacing w:after="120"/>
      </w:pPr>
      <w:r>
        <w:t xml:space="preserve">Prime Tracker is the Client’s internal real-estate development management platform. This engagement extends the existing platform with two closely related capabilities that are delivered together as a single release train.</w:t>
      </w:r>
    </w:p>
    <w:p>
      <w:pPr>
        <w:pStyle w:val="Heading2"/>
      </w:pPr>
      <w:r>
        <w:t xml:space="preserve">1.1 Problem Statement</w:t>
      </w:r>
    </w:p>
    <w:p>
      <w:pPr>
        <w:spacing w:after="120"/>
      </w:pPr>
      <w:r>
        <w:t xml:space="preserve">Prime builds the shell of a unit through its existing construction workflow, and for many units then performs a separate interior fit-out. Today the platform has no representation of the fit-out engagement, and a sale records only a single total price with no schedule of when the buyer’s money is due. As a result, interior progress is tracked outside the system and the cash-flow forecast cannot show real money-in dates.</w:t>
      </w:r>
    </w:p>
    <w:p>
      <w:pPr>
        <w:pStyle w:val="Heading2"/>
      </w:pPr>
      <w:r>
        <w:t xml:space="preserve">1.2 Solution Summary</w:t>
      </w:r>
    </w:p>
    <w:p>
      <w:pPr>
        <w:pStyle w:val="ListParagraph"/>
        <w:numPr>
          <w:ilvl w:val="0"/>
          <w:numId w:val="2"/>
        </w:numPr>
      </w:pPr>
      <w:r>
        <w:t xml:space="preserve">Interior / Fit-Out Module — a structured, seven-phase fit-out workflow per unit, with an isolated interior (TI) budget, sub-contractor invoice tracking, a snagging / punch list, and document-gated handover.</w:t>
      </w:r>
    </w:p>
    <w:p>
      <w:pPr>
        <w:pStyle w:val="ListParagraph"/>
        <w:numPr>
          <w:ilvl w:val="0"/>
          <w:numId w:val="2"/>
        </w:numPr>
      </w:pPr>
      <w:r>
        <w:t xml:space="preserve">Sale Payment Schedule — a milestone-linked installment schedule on each sale that drives overdue-payment alerts and feeds the platform’s cash-flow forecast.</w:t>
      </w:r>
    </w:p>
    <w:p>
      <w:pPr>
        <w:spacing w:after="120"/>
      </w:pPr>
      <w:r>
        <w:rPr>
          <w:i/>
          <w:iCs/>
        </w:rPr>
        <w:t xml:space="preserve">The two features are coupled: the client-facing interior charge is one of the sale installments, triggered on interior handover. They are therefore scoped, built, and delivered as one engagement.</w:t>
      </w:r>
    </w:p>
    <w:p>
      <w:pPr>
        <w:pStyle w:val="Heading1"/>
      </w:pPr>
      <w:r>
        <w:t xml:space="preserve">2. Scope of Work</w:t>
      </w:r>
    </w:p>
    <w:p>
      <w:pPr>
        <w:pStyle w:val="Heading2"/>
      </w:pPr>
      <w:r>
        <w:t xml:space="preserve">2.1 In Scope</w:t>
      </w:r>
    </w:p>
    <w:p>
      <w:pPr>
        <w:spacing w:after="120"/>
      </w:pPr>
      <w:r>
        <w:rPr>
          <w:b/>
          <w:bCs/>
        </w:rPr>
        <w:t xml:space="preserve">Feature A — Interior / Fit-Out Module:</w:t>
      </w:r>
    </w:p>
    <w:p>
      <w:pPr>
        <w:pStyle w:val="ListParagraph"/>
        <w:numPr>
          <w:ilvl w:val="0"/>
          <w:numId w:val="2"/>
        </w:numPr>
      </w:pPr>
      <w:r>
        <w:t xml:space="preserve">Interior project record anchored to a unit (or building), supporting more than one fit-out over a unit’s lifetime.</w:t>
      </w:r>
    </w:p>
    <w:p>
      <w:pPr>
        <w:pStyle w:val="ListParagraph"/>
        <w:numPr>
          <w:ilvl w:val="0"/>
          <w:numId w:val="2"/>
        </w:numPr>
      </w:pPr>
      <w:r>
        <w:t xml:space="preserve">Seven-phase workflow: Design → Client Approval → City Approval → Procurement → Execution → Snagging → Handover, with a controlled state machine.</w:t>
      </w:r>
    </w:p>
    <w:p>
      <w:pPr>
        <w:pStyle w:val="ListParagraph"/>
        <w:numPr>
          <w:ilvl w:val="0"/>
          <w:numId w:val="2"/>
        </w:numPr>
      </w:pPr>
      <w:r>
        <w:t xml:space="preserve">Soft sequencing rule: Procurement and Execution are blocked until the unit’s shell is complete; design and approval phases may begin earlier.</w:t>
      </w:r>
    </w:p>
    <w:p>
      <w:pPr>
        <w:pStyle w:val="ListParagraph"/>
        <w:numPr>
          <w:ilvl w:val="0"/>
          <w:numId w:val="2"/>
        </w:numPr>
      </w:pPr>
      <w:r>
        <w:t xml:space="preserve">Document gates: city-approval document required before Execution; handover certificate required before Handover.</w:t>
      </w:r>
    </w:p>
    <w:p>
      <w:pPr>
        <w:pStyle w:val="ListParagraph"/>
        <w:numPr>
          <w:ilvl w:val="0"/>
          <w:numId w:val="2"/>
        </w:numPr>
      </w:pPr>
      <w:r>
        <w:t xml:space="preserve">Per-square-foot contract pricing, with support for fixed and cost-plus as alternatives.</w:t>
      </w:r>
    </w:p>
    <w:p>
      <w:pPr>
        <w:pStyle w:val="ListParagraph"/>
        <w:numPr>
          <w:ilvl w:val="0"/>
          <w:numId w:val="2"/>
        </w:numPr>
      </w:pPr>
      <w:r>
        <w:t xml:space="preserve">Isolated interior (TI) budget and actuals, reported as a top-level cost category separate from construction.</w:t>
      </w:r>
    </w:p>
    <w:p>
      <w:pPr>
        <w:pStyle w:val="ListParagraph"/>
        <w:numPr>
          <w:ilvl w:val="0"/>
          <w:numId w:val="2"/>
        </w:numPr>
      </w:pPr>
      <w:r>
        <w:t xml:space="preserve">Sub-contractor invoice tracking per interior project, linked to existing vendor records.</w:t>
      </w:r>
    </w:p>
    <w:p>
      <w:pPr>
        <w:pStyle w:val="ListParagraph"/>
        <w:numPr>
          <w:ilvl w:val="0"/>
          <w:numId w:val="2"/>
        </w:numPr>
      </w:pPr>
      <w:r>
        <w:t xml:space="preserve">Scope / bill-of-quantities line items, including two to three reusable fit-out package templates.</w:t>
      </w:r>
    </w:p>
    <w:p>
      <w:pPr>
        <w:pStyle w:val="ListParagraph"/>
        <w:numPr>
          <w:ilvl w:val="0"/>
          <w:numId w:val="2"/>
        </w:numPr>
      </w:pPr>
      <w:r>
        <w:t xml:space="preserve">Snagging / punch list with status, assignee, and photo evidence.</w:t>
      </w:r>
    </w:p>
    <w:p>
      <w:pPr>
        <w:pStyle w:val="ListParagraph"/>
        <w:numPr>
          <w:ilvl w:val="0"/>
          <w:numId w:val="2"/>
        </w:numPr>
      </w:pPr>
      <w:r>
        <w:t xml:space="preserve">Cross-project Interior Portfolio view (phase, budget vs. actual, days to handover) and a per-unit Interior tab.</w:t>
      </w:r>
    </w:p>
    <w:p>
      <w:r>
        <w:t xml:space="preserve"/>
      </w:r>
    </w:p>
    <w:p>
      <w:pPr>
        <w:spacing w:after="120"/>
      </w:pPr>
      <w:r>
        <w:rPr>
          <w:b/>
          <w:bCs/>
        </w:rPr>
        <w:t xml:space="preserve">Feature B — Sale Payment Schedule:</w:t>
      </w:r>
    </w:p>
    <w:p>
      <w:pPr>
        <w:pStyle w:val="ListParagraph"/>
        <w:numPr>
          <w:ilvl w:val="0"/>
          <w:numId w:val="2"/>
        </w:numPr>
      </w:pPr>
      <w:r>
        <w:t xml:space="preserve">Installment schedule on each sale, supporting fixed-date and construction-milestone triggers.</w:t>
      </w:r>
    </w:p>
    <w:p>
      <w:pPr>
        <w:pStyle w:val="ListParagraph"/>
        <w:numPr>
          <w:ilvl w:val="0"/>
          <w:numId w:val="2"/>
        </w:numPr>
      </w:pPr>
      <w:r>
        <w:t xml:space="preserve">Automatic due-date stamping when a linked milestone completes.</w:t>
      </w:r>
    </w:p>
    <w:p>
      <w:pPr>
        <w:pStyle w:val="ListParagraph"/>
        <w:numPr>
          <w:ilvl w:val="0"/>
          <w:numId w:val="2"/>
        </w:numPr>
      </w:pPr>
      <w:r>
        <w:t xml:space="preserve">Partial-payment handling and percentage-of-price or fixed-amount installments.</w:t>
      </w:r>
    </w:p>
    <w:p>
      <w:pPr>
        <w:pStyle w:val="ListParagraph"/>
        <w:numPr>
          <w:ilvl w:val="0"/>
          <w:numId w:val="2"/>
        </w:numPr>
      </w:pPr>
      <w:r>
        <w:t xml:space="preserve">Schedule templates for the Client’s standard installment structures.</w:t>
      </w:r>
    </w:p>
    <w:p>
      <w:pPr>
        <w:pStyle w:val="ListParagraph"/>
        <w:numPr>
          <w:ilvl w:val="0"/>
          <w:numId w:val="2"/>
        </w:numPr>
      </w:pPr>
      <w:r>
        <w:t xml:space="preserve">Overdue and upcoming-payment alerts via the existing in-app and email notification system.</w:t>
      </w:r>
    </w:p>
    <w:p>
      <w:pPr>
        <w:pStyle w:val="ListParagraph"/>
        <w:numPr>
          <w:ilvl w:val="0"/>
          <w:numId w:val="2"/>
        </w:numPr>
      </w:pPr>
      <w:r>
        <w:t xml:space="preserve">Integration of scheduled installments into the platform’s cash-flow forecast and a Finance “upcoming receivables” view.</w:t>
      </w:r>
    </w:p>
    <w:p>
      <w:r>
        <w:t xml:space="preserve"/>
      </w:r>
    </w:p>
    <w:p>
      <w:pPr>
        <w:spacing w:after="120"/>
      </w:pPr>
      <w:r>
        <w:rPr>
          <w:b/>
          <w:bCs/>
        </w:rPr>
        <w:t xml:space="preserve">Cross-cutting (both features):</w:t>
      </w:r>
    </w:p>
    <w:p>
      <w:pPr>
        <w:pStyle w:val="ListParagraph"/>
        <w:numPr>
          <w:ilvl w:val="0"/>
          <w:numId w:val="2"/>
        </w:numPr>
      </w:pPr>
      <w:r>
        <w:t xml:space="preserve">Role-based access control for the new capabilities, consistent with the existing permission model.</w:t>
      </w:r>
    </w:p>
    <w:p>
      <w:pPr>
        <w:pStyle w:val="ListParagraph"/>
        <w:numPr>
          <w:ilvl w:val="0"/>
          <w:numId w:val="2"/>
        </w:numPr>
      </w:pPr>
      <w:r>
        <w:t xml:space="preserve">Audit logging of all new write operations, using the platform’s existing audit mechanism.</w:t>
      </w:r>
    </w:p>
    <w:p>
      <w:pPr>
        <w:pStyle w:val="ListParagraph"/>
        <w:numPr>
          <w:ilvl w:val="0"/>
          <w:numId w:val="2"/>
        </w:numPr>
      </w:pPr>
      <w:r>
        <w:t xml:space="preserve">Automated tests for the new business logic, and one combined database migration.</w:t>
      </w:r>
    </w:p>
    <w:p>
      <w:pPr>
        <w:pStyle w:val="ListParagraph"/>
        <w:numPr>
          <w:ilvl w:val="0"/>
          <w:numId w:val="2"/>
        </w:numPr>
      </w:pPr>
      <w:r>
        <w:t xml:space="preserve">Knowledge-transfer walkthrough of the delivered features.</w:t>
      </w:r>
    </w:p>
    <w:p>
      <w:pPr>
        <w:pStyle w:val="Heading2"/>
      </w:pPr>
      <w:r>
        <w:t xml:space="preserve">2.2 Out of Scope</w:t>
      </w:r>
    </w:p>
    <w:p>
      <w:pPr>
        <w:pStyle w:val="ListParagraph"/>
        <w:numPr>
          <w:ilvl w:val="0"/>
          <w:numId w:val="2"/>
        </w:numPr>
      </w:pPr>
      <w:r>
        <w:t xml:space="preserve">Broker / referral commission tracking (separate future engagement).</w:t>
      </w:r>
    </w:p>
    <w:p>
      <w:pPr>
        <w:pStyle w:val="ListParagraph"/>
        <w:numPr>
          <w:ilvl w:val="0"/>
          <w:numId w:val="2"/>
        </w:numPr>
      </w:pPr>
      <w:r>
        <w:t xml:space="preserve">Unit-grouping / combining adjacent units into one legal unit.</w:t>
      </w:r>
    </w:p>
    <w:p>
      <w:pPr>
        <w:pStyle w:val="ListParagraph"/>
        <w:numPr>
          <w:ilvl w:val="0"/>
          <w:numId w:val="2"/>
        </w:numPr>
      </w:pPr>
      <w:r>
        <w:t xml:space="preserve">Daily construction photo logs.</w:t>
      </w:r>
    </w:p>
    <w:p>
      <w:pPr>
        <w:pStyle w:val="ListParagraph"/>
        <w:numPr>
          <w:ilvl w:val="0"/>
          <w:numId w:val="2"/>
        </w:numPr>
      </w:pPr>
      <w:r>
        <w:t xml:space="preserve">BuilderTrend and Bill.com integrations (e.g., automated purchase-order transfer).</w:t>
      </w:r>
    </w:p>
    <w:p>
      <w:pPr>
        <w:pStyle w:val="ListParagraph"/>
        <w:numPr>
          <w:ilvl w:val="0"/>
          <w:numId w:val="2"/>
        </w:numPr>
      </w:pPr>
      <w:r>
        <w:t xml:space="preserve">WhatsApp notification channel (email and in-app only for this engagement).</w:t>
      </w:r>
    </w:p>
    <w:p>
      <w:pPr>
        <w:pStyle w:val="ListParagraph"/>
        <w:numPr>
          <w:ilvl w:val="0"/>
          <w:numId w:val="2"/>
        </w:numPr>
      </w:pPr>
      <w:r>
        <w:t xml:space="preserve">Sale cancellation / refund-and-penalty workflow.</w:t>
      </w:r>
    </w:p>
    <w:p>
      <w:pPr>
        <w:pStyle w:val="ListParagraph"/>
        <w:numPr>
          <w:ilvl w:val="0"/>
          <w:numId w:val="2"/>
        </w:numPr>
      </w:pPr>
      <w:r>
        <w:t xml:space="preserve">Multi-currency support (USD only).</w:t>
      </w:r>
    </w:p>
    <w:p>
      <w:pPr>
        <w:pStyle w:val="ListParagraph"/>
        <w:numPr>
          <w:ilvl w:val="0"/>
          <w:numId w:val="2"/>
        </w:numPr>
      </w:pPr>
      <w:r>
        <w:t xml:space="preserve">Data migration of historical interior or payment records (can be quoted separately if required).</w:t>
      </w:r>
    </w:p>
    <w:p>
      <w:pPr>
        <w:pStyle w:val="Heading1"/>
      </w:pPr>
      <w:r>
        <w:t xml:space="preserve">3. Technical Approach</w:t>
      </w:r>
    </w:p>
    <w:p>
      <w:pPr>
        <w:spacing w:after="120"/>
      </w:pPr>
      <w:r>
        <w:t xml:space="preserve">Both features are implemented within the existing Prime Tracker architecture and follow established platform conventions, so they integrate cleanly with current modules.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NestJS modular monolith with Prisma v5 and PostgreSQL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React 18 + Vite, HeroUI component library, TanStack Query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Eventing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Existing in-process domain event bus (no new module coupling)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Scheduling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Existing daily scheduled-jobs mechanism for overdue checks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Files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Existing managed file storage for photos and certificates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Architectural commitments: the interior module is delivered as a self-contained module mirroring the existing draw-workflow module; interior costs reuse the existing budget and actuals tables but are reported as a distinct category; the client-facing interior price is recorded on the sale as an installment; and all cross-feature behaviour is wired through the existing event bus. The change set is additive — no existing data structures are altered destructively.</w:t>
      </w:r>
    </w:p>
    <w:p>
      <w:pPr>
        <w:pStyle w:val="Heading1"/>
      </w:pPr>
      <w:r>
        <w:t xml:space="preserve">4. Timeline &amp; Milestones</w:t>
      </w:r>
    </w:p>
    <w:p>
      <w:pPr>
        <w:spacing w:after="120"/>
      </w:pPr>
      <w:r>
        <w:t xml:space="preserve">Timeline is expressed in weeks relative to the confirmed Project Start Date. Durations are indicative and will be confirmed at kickoff. Delivery is incremental: each milestone produces working, demonstrable functionality.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42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Target (from start)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M0 — Discovery &amp; Sign-off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Resolve open requirements (Section 6), confirm payment-schedule templates and interior packages, finalise data model.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Week 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M1 — Foundation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Combined database migration; interior project records with the seven-phase workflow and sequencing gate; per-unit Interior tab; sale installment schedule with milestone linkage.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Weeks 2–4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M2 — Financials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Isolated interior budget and actuals with top-level TI reporting; sub-contractor invoice tracking; payment logging with partial payments; cash-flow inflow integration.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Weeks 5–6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M3 — Scope &amp; Automation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Bill-of-quantities and 2–3 package templates; milestone-completion automation; overdue and upcoming-payment alerts; Finance receivables view.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Weeks 7–8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M4 — Snagging, Handover &amp; Hardening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Snagging / punch list; document gates and handover certificate; Interior Portfolio view; automated tests, fixes, and knowledge transfer.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Weeks 9–10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i/>
          <w:iCs/>
        </w:rPr>
        <w:t xml:space="preserve">Indicative total duration: approximately 10 weeks from the confirmed start date, assuming timely Client input at Milestone M0 and during review cycles.</w:t>
      </w:r>
    </w:p>
    <w:p>
      <w:pPr>
        <w:pStyle w:val="Heading1"/>
      </w:pPr>
      <w:r>
        <w:t xml:space="preserve">5. Assumptions &amp; Dependencies</w:t>
      </w:r>
    </w:p>
    <w:p>
      <w:pPr>
        <w:pStyle w:val="ListParagraph"/>
        <w:numPr>
          <w:ilvl w:val="0"/>
          <w:numId w:val="3"/>
        </w:numPr>
      </w:pPr>
      <w:r>
        <w:t xml:space="preserve">The engagement builds on the current Prime Tracker codebase and its existing modules (construction, sales, milestones, budgets, vendors, documents, notifications, cash-flow); these remain available and stable for the duration.</w:t>
      </w:r>
    </w:p>
    <w:p>
      <w:pPr>
        <w:pStyle w:val="ListParagraph"/>
        <w:numPr>
          <w:ilvl w:val="0"/>
          <w:numId w:val="3"/>
        </w:numPr>
      </w:pPr>
      <w:r>
        <w:t xml:space="preserve">The Client provides timely access to a working development/staging environment and any required credentials.</w:t>
      </w:r>
    </w:p>
    <w:p>
      <w:pPr>
        <w:pStyle w:val="ListParagraph"/>
        <w:numPr>
          <w:ilvl w:val="0"/>
          <w:numId w:val="3"/>
        </w:numPr>
      </w:pPr>
      <w:r>
        <w:t xml:space="preserve">The Client nominates a single point of contact empowered to answer requirements questions and approve milestones.</w:t>
      </w:r>
    </w:p>
    <w:p>
      <w:pPr>
        <w:pStyle w:val="ListParagraph"/>
        <w:numPr>
          <w:ilvl w:val="0"/>
          <w:numId w:val="3"/>
        </w:numPr>
      </w:pPr>
      <w:r>
        <w:t xml:space="preserve">Interior fit-outs are managed by the existing Project Manager role; no new organizational role is introduced.</w:t>
      </w:r>
    </w:p>
    <w:p>
      <w:pPr>
        <w:pStyle w:val="ListParagraph"/>
        <w:numPr>
          <w:ilvl w:val="0"/>
          <w:numId w:val="3"/>
        </w:numPr>
      </w:pPr>
      <w:r>
        <w:t xml:space="preserve">Email and in-app notifications use the Client’s existing configured channels.</w:t>
      </w:r>
    </w:p>
    <w:p>
      <w:pPr>
        <w:pStyle w:val="ListParagraph"/>
        <w:numPr>
          <w:ilvl w:val="0"/>
          <w:numId w:val="3"/>
        </w:numPr>
      </w:pPr>
      <w:r>
        <w:t xml:space="preserve">The following items are confirmed during Discovery (M0) and are assumed resolvable within that milestone without changing overall scope:</w:t>
      </w:r>
    </w:p>
    <w:p>
      <w:pPr>
        <w:pStyle w:val="ListParagraph"/>
        <w:numPr>
          <w:ilvl w:val="1"/>
          <w:numId w:val="2"/>
        </w:numPr>
      </w:pPr>
      <w:r>
        <w:t xml:space="preserve">Whether the existing sale deposit becomes the first scheduled installment.</w:t>
      </w:r>
    </w:p>
    <w:p>
      <w:pPr>
        <w:pStyle w:val="ListParagraph"/>
        <w:numPr>
          <w:ilvl w:val="1"/>
          <w:numId w:val="2"/>
        </w:numPr>
      </w:pPr>
      <w:r>
        <w:t xml:space="preserve">The Client’s one or two standard payment-schedule templates.</w:t>
      </w:r>
    </w:p>
    <w:p>
      <w:pPr>
        <w:pStyle w:val="ListParagraph"/>
        <w:numPr>
          <w:ilvl w:val="1"/>
          <w:numId w:val="2"/>
        </w:numPr>
      </w:pPr>
      <w:r>
        <w:t xml:space="preserve">Which roles may record payments, and the approver of record for City Approval.</w:t>
      </w:r>
    </w:p>
    <w:p>
      <w:pPr>
        <w:pStyle w:val="ListParagraph"/>
        <w:numPr>
          <w:ilvl w:val="1"/>
          <w:numId w:val="2"/>
        </w:numPr>
      </w:pPr>
      <w:r>
        <w:t xml:space="preserve">The two to three standard interior package definitions.</w:t>
      </w:r>
    </w:p>
    <w:p>
      <w:pPr>
        <w:pStyle w:val="ListParagraph"/>
        <w:numPr>
          <w:ilvl w:val="1"/>
          <w:numId w:val="2"/>
        </w:numPr>
      </w:pPr>
      <w:r>
        <w:t xml:space="preserve">Whether interior contract values require field-level encryption.</w:t>
      </w:r>
    </w:p>
    <w:p>
      <w:pPr>
        <w:pStyle w:val="ListParagraph"/>
        <w:numPr>
          <w:ilvl w:val="0"/>
          <w:numId w:val="3"/>
        </w:numPr>
      </w:pPr>
      <w:r>
        <w:t xml:space="preserve">Reviews are completed within two business days of delivery for each milestone to keep the timeline on track.</w:t>
      </w:r>
    </w:p>
    <w:p>
      <w:pPr>
        <w:pStyle w:val="Heading1"/>
      </w:pPr>
      <w:r>
        <w:t xml:space="preserve">6. Discovery Items to Confirm at Kickoff</w:t>
      </w:r>
    </w:p>
    <w:p>
      <w:pPr>
        <w:spacing w:after="120"/>
      </w:pPr>
      <w:r>
        <w:t xml:space="preserve">The following design questions are intentionally resolved during Milestone M0 so that build work proceeds against confirmed decisions. They do not block signature.</w:t>
      </w:r>
    </w:p>
    <w:p>
      <w:pPr>
        <w:pStyle w:val="ListParagraph"/>
        <w:numPr>
          <w:ilvl w:val="0"/>
          <w:numId w:val="3"/>
        </w:numPr>
      </w:pPr>
      <w:r>
        <w:t xml:space="preserve">Deposit handling — fold the existing sale deposit into the installment schedule, or keep it separate.</w:t>
      </w:r>
    </w:p>
    <w:p>
      <w:pPr>
        <w:pStyle w:val="ListParagraph"/>
        <w:numPr>
          <w:ilvl w:val="0"/>
          <w:numId w:val="3"/>
        </w:numPr>
      </w:pPr>
      <w:r>
        <w:t xml:space="preserve">Standard payment-schedule template(s) used by Prime.</w:t>
      </w:r>
    </w:p>
    <w:p>
      <w:pPr>
        <w:pStyle w:val="ListParagraph"/>
        <w:numPr>
          <w:ilvl w:val="0"/>
          <w:numId w:val="3"/>
        </w:numPr>
      </w:pPr>
      <w:r>
        <w:t xml:space="preserve">Permission to record payments — Finance/Accounting only, or also Sales.</w:t>
      </w:r>
    </w:p>
    <w:p>
      <w:pPr>
        <w:pStyle w:val="ListParagraph"/>
        <w:numPr>
          <w:ilvl w:val="0"/>
          <w:numId w:val="3"/>
        </w:numPr>
      </w:pPr>
      <w:r>
        <w:t xml:space="preserve">City Approval approver of record within the system.</w:t>
      </w:r>
    </w:p>
    <w:p>
      <w:pPr>
        <w:pStyle w:val="ListParagraph"/>
        <w:numPr>
          <w:ilvl w:val="0"/>
          <w:numId w:val="3"/>
        </w:numPr>
      </w:pPr>
      <w:r>
        <w:t xml:space="preserve">Interior package definitions (2–3 standard packages), or model-now / populate-later.</w:t>
      </w:r>
    </w:p>
    <w:p>
      <w:pPr>
        <w:pStyle w:val="ListParagraph"/>
        <w:numPr>
          <w:ilvl w:val="0"/>
          <w:numId w:val="3"/>
        </w:numPr>
      </w:pPr>
      <w:r>
        <w:t xml:space="preserve">Whether interior contract values should be encrypted like loan financial fields.</w:t>
      </w:r>
    </w:p>
    <w:p>
      <w:pPr>
        <w:pStyle w:val="Heading1"/>
      </w:pPr>
      <w:r>
        <w:t xml:space="preserve">7. Terms &amp; Conditions</w:t>
      </w:r>
    </w:p>
    <w:p>
      <w:pPr>
        <w:pStyle w:val="Heading2"/>
      </w:pPr>
      <w:r>
        <w:t xml:space="preserve">7.1 Intellectual Property</w:t>
      </w:r>
    </w:p>
    <w:p>
      <w:pPr>
        <w:spacing w:after="120"/>
      </w:pPr>
      <w:r>
        <w:t xml:space="preserve">All source code and deliverables produced under this SOW are work-for-hire and become the property of the Client upon delivery, save for any pre-existing Provider tools, libraries, or generic components, which the Provider retains and licenses to the Client for use within Prime Tracker.</w:t>
      </w:r>
    </w:p>
    <w:p>
      <w:pPr>
        <w:pStyle w:val="Heading2"/>
      </w:pPr>
      <w:r>
        <w:t xml:space="preserve">7.2 Revisions</w:t>
      </w:r>
    </w:p>
    <w:p>
      <w:pPr>
        <w:spacing w:after="120"/>
      </w:pPr>
      <w:r>
        <w:t xml:space="preserve">Each milestone includes up to two rounds of review and revision against the agreed scope. Changes that expand scope beyond this SOW are handled through a written change request.</w:t>
      </w:r>
    </w:p>
    <w:p>
      <w:pPr>
        <w:pStyle w:val="Heading2"/>
      </w:pPr>
      <w:r>
        <w:t xml:space="preserve">7.3 Change Management</w:t>
      </w:r>
    </w:p>
    <w:p>
      <w:pPr>
        <w:spacing w:after="120"/>
      </w:pPr>
      <w:r>
        <w:t xml:space="preserve">Any change to scope, deliverables, or timeline is documented in a change request and agreed in writing by both parties before work proceeds.</w:t>
      </w:r>
    </w:p>
    <w:p>
      <w:pPr>
        <w:pStyle w:val="Heading2"/>
      </w:pPr>
      <w:r>
        <w:t xml:space="preserve">7.4 Communication Cadence</w:t>
      </w:r>
    </w:p>
    <w:p>
      <w:pPr>
        <w:spacing w:after="120"/>
      </w:pPr>
      <w:r>
        <w:t xml:space="preserve">A short weekly progress update and a demonstration at each milestone. The Client’s nominated point of contact is responsible for consolidating Client-side feedback.</w:t>
      </w:r>
    </w:p>
    <w:p>
      <w:pPr>
        <w:pStyle w:val="Heading2"/>
      </w:pPr>
      <w:r>
        <w:t xml:space="preserve">7.5 Commercial Terms</w:t>
      </w:r>
    </w:p>
    <w:p>
      <w:pPr>
        <w:spacing w:after="120"/>
      </w:pPr>
      <w:r>
        <w:rPr>
          <w:i/>
          <w:iCs/>
        </w:rPr>
        <w:t xml:space="preserve">Commercial terms — fees and payment schedule — are addressed in a separate commercial annex and are intentionally not included in this Statement of Work.</w:t>
      </w:r>
    </w:p>
    <w:p>
      <w:pPr>
        <w:pStyle w:val="Heading2"/>
      </w:pPr>
      <w:r>
        <w:t xml:space="preserve">7.6 Termination</w:t>
      </w:r>
    </w:p>
    <w:p>
      <w:pPr>
        <w:spacing w:after="120"/>
      </w:pPr>
      <w:r>
        <w:t xml:space="preserve">Either party may terminate this engagement with written notice. On termination, the Client receives all completed and in-progress deliverables, and settlement is made for work performed up to the termination date per the separate commercial annex.</w:t>
      </w:r>
    </w:p>
    <w:p>
      <w:pPr>
        <w:pStyle w:val="Heading1"/>
      </w:pPr>
      <w:r>
        <w:t xml:space="preserve">8. Acceptance &amp; Sign-off</w:t>
      </w:r>
    </w:p>
    <w:p>
      <w:pPr>
        <w:spacing w:after="120"/>
      </w:pPr>
      <w:r>
        <w:t xml:space="preserve">By signing below, both parties agree to the scope, approach, timeline, and terms set out in this Statement of Work.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For Asan Innovators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A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For Prime Developers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Name: </w:t>
            </w:r>
            <w:r>
              <w:t xml:space="preserve">Kalyan Kumar Bedugam (AK)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Name: </w:t>
            </w:r>
            <w: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Title: </w:t>
            </w:r>
            <w:r>
              <w:t xml:space="preserve">Principal / Engagement Lead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Title: </w:t>
            </w:r>
            <w:r>
              <w:t xml:space="preserve">Founder / Co-Founder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Signature: </w:t>
            </w:r>
            <w:r>
              <w:t xml:space="preserve">________________________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Signature: </w:t>
            </w:r>
            <w: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Date: </w:t>
            </w:r>
            <w:r>
              <w:t xml:space="preserve">________________________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Date: </w:t>
            </w:r>
            <w:r>
              <w:t xml:space="preserve">________________________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right" w:pos="9360"/>
      </w:tabs>
    </w:pPr>
    <w:r>
      <w:rPr>
        <w:color w:val="666666"/>
        <w:sz w:val="16"/>
        <w:szCs w:val="16"/>
      </w:rPr>
      <w:t xml:space="preserve">Confidential — Asan Innovators © 2026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b/>
        <w:bCs/>
        <w:color w:val="2E5AAC"/>
        <w:sz w:val="18"/>
        <w:szCs w:val="18"/>
      </w:rPr>
      <w:t xml:space="preserve">Asan Innovators</w:t>
    </w:r>
    <w:r>
      <w:rPr>
        <w:color w:val="666666"/>
        <w:sz w:val="18"/>
        <w:szCs w:val="18"/>
      </w:rPr>
      <w:t xml:space="preserve">   |   Statement of Work — Prime Tracker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2E5AA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Prime Tracker — Interior &amp; Sale Payment SOW</dc:title>
  <dc:creator>Asan Innovators</dc:creator>
  <cp:lastModifiedBy>Un-named</cp:lastModifiedBy>
  <cp:revision>1</cp:revision>
  <dcterms:created xsi:type="dcterms:W3CDTF">2026-05-31T13:35:06.739Z</dcterms:created>
  <dcterms:modified xsi:type="dcterms:W3CDTF">2026-05-31T13:35:06.740Z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