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5A55A2" w:rsidRPr="008B49C4" w14:paraId="2C2FB5A2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A7C6D" w14:textId="77777777" w:rsidR="005A55A2" w:rsidRPr="008B49C4" w:rsidRDefault="005A55A2" w:rsidP="00E64FAC">
            <w:r w:rsidRPr="008B49C4"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6BFE" w14:textId="77777777" w:rsidR="005A55A2" w:rsidRPr="008B49C4" w:rsidRDefault="005A55A2" w:rsidP="00E64FAC"/>
        </w:tc>
      </w:tr>
      <w:tr w:rsidR="005A55A2" w:rsidRPr="008B49C4" w14:paraId="4DA05C72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7D0D5" w14:textId="77777777" w:rsidR="005A55A2" w:rsidRPr="008B49C4" w:rsidRDefault="005A55A2" w:rsidP="00E64FAC">
            <w:r w:rsidRPr="008B49C4"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212" w14:textId="78DE27A4" w:rsidR="005A55A2" w:rsidRPr="008B49C4" w:rsidRDefault="005A55A2" w:rsidP="00E64FAC">
            <w:r w:rsidRPr="00B45847">
              <w:t> LTVIP2025TMID5</w:t>
            </w:r>
            <w:r w:rsidR="00C412A2">
              <w:t>4121</w:t>
            </w:r>
          </w:p>
        </w:tc>
      </w:tr>
      <w:tr w:rsidR="005A55A2" w:rsidRPr="008B49C4" w14:paraId="66E313EB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76E70" w14:textId="77777777" w:rsidR="005A55A2" w:rsidRPr="008B49C4" w:rsidRDefault="005A55A2" w:rsidP="00E64FAC">
            <w:r w:rsidRPr="008B49C4"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7D2D" w14:textId="77777777" w:rsidR="005A55A2" w:rsidRPr="008B49C4" w:rsidRDefault="005A55A2" w:rsidP="00E64FAC">
            <w:r w:rsidRPr="008F349E">
              <w:t xml:space="preserve">Revolutionizing Liver Care </w:t>
            </w:r>
          </w:p>
        </w:tc>
      </w:tr>
      <w:tr w:rsidR="005A55A2" w:rsidRPr="008B49C4" w14:paraId="24A0143B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FFC7" w14:textId="77777777" w:rsidR="005A55A2" w:rsidRPr="008B49C4" w:rsidRDefault="005A55A2" w:rsidP="00E64FAC">
            <w:r w:rsidRPr="008B49C4"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543A" w14:textId="77777777" w:rsidR="005A55A2" w:rsidRPr="008B49C4" w:rsidRDefault="005A55A2" w:rsidP="00E64FAC">
            <w:r w:rsidRPr="008B49C4">
              <w:t>4 Marks</w:t>
            </w:r>
          </w:p>
        </w:tc>
      </w:tr>
    </w:tbl>
    <w:p w14:paraId="6F1A483E" w14:textId="77777777" w:rsidR="007B1D20" w:rsidRPr="007B1D20" w:rsidRDefault="007B1D20" w:rsidP="007B1D20">
      <w:pPr>
        <w:rPr>
          <w:b/>
          <w:sz w:val="28"/>
          <w:szCs w:val="28"/>
        </w:rPr>
      </w:pPr>
      <w:r w:rsidRPr="007B1D20">
        <w:rPr>
          <w:b/>
          <w:sz w:val="28"/>
          <w:szCs w:val="28"/>
        </w:rPr>
        <w:t>Technical Architecture:</w:t>
      </w:r>
    </w:p>
    <w:p w14:paraId="780C47B5" w14:textId="5CC9BC3A" w:rsidR="002C2389" w:rsidRDefault="0060759D" w:rsidP="005A55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5BFF09" wp14:editId="0683EF8C">
            <wp:extent cx="5731510" cy="2654300"/>
            <wp:effectExtent l="0" t="0" r="2540" b="0"/>
            <wp:docPr id="155853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ACDF" w14:textId="1BF95053" w:rsidR="007D0C80" w:rsidRPr="000B01E4" w:rsidRDefault="000B01E4" w:rsidP="005A55A2">
      <w:pPr>
        <w:rPr>
          <w:b/>
          <w:bCs/>
          <w:sz w:val="28"/>
          <w:szCs w:val="28"/>
        </w:rPr>
      </w:pPr>
      <w:r w:rsidRPr="000B01E4">
        <w:rPr>
          <w:b/>
          <w:bCs/>
          <w:sz w:val="28"/>
          <w:szCs w:val="28"/>
        </w:rPr>
        <w:t>Table :1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0"/>
        <w:gridCol w:w="2007"/>
        <w:gridCol w:w="5259"/>
      </w:tblGrid>
      <w:tr w:rsidR="00372391" w:rsidRPr="00372391" w14:paraId="4479D687" w14:textId="77777777" w:rsidTr="006855F3">
        <w:tc>
          <w:tcPr>
            <w:tcW w:w="0" w:type="auto"/>
            <w:hideMark/>
          </w:tcPr>
          <w:p w14:paraId="06DF57EA" w14:textId="77777777" w:rsidR="00372391" w:rsidRPr="00372391" w:rsidRDefault="00372391" w:rsidP="006855F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Guideline Category</w:t>
            </w:r>
          </w:p>
        </w:tc>
        <w:tc>
          <w:tcPr>
            <w:tcW w:w="0" w:type="auto"/>
            <w:hideMark/>
          </w:tcPr>
          <w:p w14:paraId="413C59D4" w14:textId="77777777" w:rsidR="00372391" w:rsidRPr="00372391" w:rsidRDefault="00372391" w:rsidP="006855F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434EE37C" w14:textId="77777777" w:rsidR="00372391" w:rsidRPr="00372391" w:rsidRDefault="00372391" w:rsidP="006855F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Reference / Standard</w:t>
            </w:r>
          </w:p>
        </w:tc>
      </w:tr>
      <w:tr w:rsidR="00372391" w:rsidRPr="00372391" w14:paraId="3A6ADB61" w14:textId="77777777" w:rsidTr="006855F3">
        <w:tc>
          <w:tcPr>
            <w:tcW w:w="0" w:type="auto"/>
            <w:hideMark/>
          </w:tcPr>
          <w:p w14:paraId="1127C1A7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Total Product Lifecycle (TPLC)</w:t>
            </w:r>
          </w:p>
        </w:tc>
        <w:tc>
          <w:tcPr>
            <w:tcW w:w="0" w:type="auto"/>
            <w:hideMark/>
          </w:tcPr>
          <w:p w14:paraId="3D3CD78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Design, development, deployment, and post-market monitoring built into the process. Includes risk planning, performance checks, and </w:t>
            </w:r>
            <w:r w:rsidRPr="00372391">
              <w:rPr>
                <w:sz w:val="28"/>
                <w:szCs w:val="28"/>
              </w:rPr>
              <w:lastRenderedPageBreak/>
              <w:t>regulatory submissions.</w:t>
            </w:r>
          </w:p>
        </w:tc>
        <w:tc>
          <w:tcPr>
            <w:tcW w:w="0" w:type="auto"/>
            <w:hideMark/>
          </w:tcPr>
          <w:p w14:paraId="6224D777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 xml:space="preserve">FDA draft guidance </w:t>
            </w:r>
            <w:hyperlink r:id="rId8" w:tgtFrame="_blank" w:history="1">
              <w:r w:rsidRPr="00372391">
                <w:rPr>
                  <w:rStyle w:val="Hyperlink"/>
                  <w:sz w:val="28"/>
                  <w:szCs w:val="28"/>
                </w:rPr>
                <w:t>fda.gov+13digitalhealthglobal.com+13gtlaw.com+13</w:t>
              </w:r>
            </w:hyperlink>
          </w:p>
        </w:tc>
      </w:tr>
      <w:tr w:rsidR="00372391" w:rsidRPr="00372391" w14:paraId="3F32DBA2" w14:textId="77777777" w:rsidTr="006855F3">
        <w:tc>
          <w:tcPr>
            <w:tcW w:w="0" w:type="auto"/>
            <w:hideMark/>
          </w:tcPr>
          <w:p w14:paraId="306EE857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Device &amp; Data Description</w:t>
            </w:r>
          </w:p>
        </w:tc>
        <w:tc>
          <w:tcPr>
            <w:tcW w:w="0" w:type="auto"/>
            <w:hideMark/>
          </w:tcPr>
          <w:p w14:paraId="29D40BC0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Document inputs (labs, images, histology), outputs (risk scores, heatmaps), intended users &amp; environments in device description and model “card”.</w:t>
            </w:r>
          </w:p>
        </w:tc>
        <w:tc>
          <w:tcPr>
            <w:tcW w:w="0" w:type="auto"/>
            <w:hideMark/>
          </w:tcPr>
          <w:p w14:paraId="46D39CCA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, FUTURE-AI </w:t>
            </w:r>
          </w:p>
        </w:tc>
      </w:tr>
      <w:tr w:rsidR="00372391" w:rsidRPr="00372391" w14:paraId="2FC8650B" w14:textId="77777777" w:rsidTr="006855F3">
        <w:tc>
          <w:tcPr>
            <w:tcW w:w="0" w:type="auto"/>
            <w:hideMark/>
          </w:tcPr>
          <w:p w14:paraId="1D209F0F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Data Management &amp; Bias Mitigation</w:t>
            </w:r>
          </w:p>
        </w:tc>
        <w:tc>
          <w:tcPr>
            <w:tcW w:w="0" w:type="auto"/>
            <w:hideMark/>
          </w:tcPr>
          <w:p w14:paraId="0782C7B0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Ensure high-quality, diverse, labeled, and segregated training/validation sets. Document data provenance, harmonization, and annotate edge cases. Bias mitigation via subgroup analysis.</w:t>
            </w:r>
          </w:p>
        </w:tc>
        <w:tc>
          <w:tcPr>
            <w:tcW w:w="0" w:type="auto"/>
            <w:hideMark/>
          </w:tcPr>
          <w:p w14:paraId="3F33581F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, FUTURE-AI </w:t>
            </w:r>
          </w:p>
        </w:tc>
      </w:tr>
      <w:tr w:rsidR="00372391" w:rsidRPr="00372391" w14:paraId="6DBE40FE" w14:textId="77777777" w:rsidTr="006855F3">
        <w:tc>
          <w:tcPr>
            <w:tcW w:w="0" w:type="auto"/>
            <w:hideMark/>
          </w:tcPr>
          <w:p w14:paraId="35D93149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Model Documentation</w:t>
            </w:r>
          </w:p>
        </w:tc>
        <w:tc>
          <w:tcPr>
            <w:tcW w:w="0" w:type="auto"/>
            <w:hideMark/>
          </w:tcPr>
          <w:p w14:paraId="684492A3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Detail algorithm architecture, features, hyperparamete</w:t>
            </w:r>
            <w:r w:rsidRPr="00372391">
              <w:rPr>
                <w:sz w:val="28"/>
                <w:szCs w:val="28"/>
              </w:rPr>
              <w:lastRenderedPageBreak/>
              <w:t>rs, threshold selection, and ensemble techniques. Provide explainability tools (SHAP, Grad</w:t>
            </w:r>
            <w:r w:rsidRPr="00372391">
              <w:rPr>
                <w:sz w:val="28"/>
                <w:szCs w:val="28"/>
              </w:rPr>
              <w:noBreakHyphen/>
              <w:t>CAM).</w:t>
            </w:r>
          </w:p>
        </w:tc>
        <w:tc>
          <w:tcPr>
            <w:tcW w:w="0" w:type="auto"/>
            <w:hideMark/>
          </w:tcPr>
          <w:p w14:paraId="29BA5E3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 xml:space="preserve">FDA draft , FUTURE-AI </w:t>
            </w:r>
          </w:p>
        </w:tc>
      </w:tr>
      <w:tr w:rsidR="00372391" w:rsidRPr="00372391" w14:paraId="2C77B064" w14:textId="77777777" w:rsidTr="006855F3">
        <w:tc>
          <w:tcPr>
            <w:tcW w:w="0" w:type="auto"/>
            <w:hideMark/>
          </w:tcPr>
          <w:p w14:paraId="36D053A0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Validation &amp; Usability</w:t>
            </w:r>
          </w:p>
        </w:tc>
        <w:tc>
          <w:tcPr>
            <w:tcW w:w="0" w:type="auto"/>
            <w:hideMark/>
          </w:tcPr>
          <w:p w14:paraId="7124E4A2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Perform rigorous validation using real-world data. Include human factors and usability testing for clinicians. Report metrics like AUROC, sensitivity, and segmentation performance.</w:t>
            </w:r>
          </w:p>
        </w:tc>
        <w:tc>
          <w:tcPr>
            <w:tcW w:w="0" w:type="auto"/>
            <w:hideMark/>
          </w:tcPr>
          <w:p w14:paraId="2F640DF1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34838C57" w14:textId="77777777" w:rsidTr="006855F3">
        <w:tc>
          <w:tcPr>
            <w:tcW w:w="0" w:type="auto"/>
            <w:hideMark/>
          </w:tcPr>
          <w:p w14:paraId="06B6BE01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Risk Management</w:t>
            </w:r>
          </w:p>
        </w:tc>
        <w:tc>
          <w:tcPr>
            <w:tcW w:w="0" w:type="auto"/>
            <w:hideMark/>
          </w:tcPr>
          <w:p w14:paraId="2BA3DF64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Maintain an ISO 14971-compliant risk file, factoring in hazards across entire system lifecycle. Include cybersecurity, failure modes, and mitigation strategies.</w:t>
            </w:r>
          </w:p>
        </w:tc>
        <w:tc>
          <w:tcPr>
            <w:tcW w:w="0" w:type="auto"/>
            <w:hideMark/>
          </w:tcPr>
          <w:p w14:paraId="48BDCD8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50E91350" w14:textId="77777777" w:rsidTr="006855F3">
        <w:tc>
          <w:tcPr>
            <w:tcW w:w="0" w:type="auto"/>
            <w:hideMark/>
          </w:tcPr>
          <w:p w14:paraId="35ABB19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lastRenderedPageBreak/>
              <w:t>Cybersecurity &amp; Integrity</w:t>
            </w:r>
          </w:p>
        </w:tc>
        <w:tc>
          <w:tcPr>
            <w:tcW w:w="0" w:type="auto"/>
            <w:hideMark/>
          </w:tcPr>
          <w:p w14:paraId="16C88204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Safeguard against threats like data poisoning, inversion, and drift. Implement encryption, authentication, patching, and monitoring systems.</w:t>
            </w:r>
          </w:p>
        </w:tc>
        <w:tc>
          <w:tcPr>
            <w:tcW w:w="0" w:type="auto"/>
            <w:hideMark/>
          </w:tcPr>
          <w:p w14:paraId="2530819C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7DC718FB" w14:textId="77777777" w:rsidTr="006855F3">
        <w:tc>
          <w:tcPr>
            <w:tcW w:w="0" w:type="auto"/>
            <w:hideMark/>
          </w:tcPr>
          <w:p w14:paraId="1896D582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Post-Market Performance Monitoring (PMPM)</w:t>
            </w:r>
          </w:p>
        </w:tc>
        <w:tc>
          <w:tcPr>
            <w:tcW w:w="0" w:type="auto"/>
            <w:hideMark/>
          </w:tcPr>
          <w:p w14:paraId="6D898FDA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Track real-world performance, detect drift, and update via pre-approved Predetermined Change Control Plan (PCCP). Include real-time monitoring and safety checks.</w:t>
            </w:r>
          </w:p>
        </w:tc>
        <w:tc>
          <w:tcPr>
            <w:tcW w:w="0" w:type="auto"/>
            <w:hideMark/>
          </w:tcPr>
          <w:p w14:paraId="51607DC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0E3EA4EB" w14:textId="77777777" w:rsidTr="006855F3">
        <w:tc>
          <w:tcPr>
            <w:tcW w:w="0" w:type="auto"/>
            <w:hideMark/>
          </w:tcPr>
          <w:p w14:paraId="5A164A8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Transparency &amp; Labeling</w:t>
            </w:r>
          </w:p>
        </w:tc>
        <w:tc>
          <w:tcPr>
            <w:tcW w:w="0" w:type="auto"/>
            <w:hideMark/>
          </w:tcPr>
          <w:p w14:paraId="2435BB8A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Provide comprehensive labeling and model cards: AI usage, limitations, performance across demographics, </w:t>
            </w:r>
            <w:r w:rsidRPr="00372391">
              <w:rPr>
                <w:sz w:val="28"/>
                <w:szCs w:val="28"/>
              </w:rPr>
              <w:lastRenderedPageBreak/>
              <w:t>versioning, and update protocols.</w:t>
            </w:r>
          </w:p>
        </w:tc>
        <w:tc>
          <w:tcPr>
            <w:tcW w:w="0" w:type="auto"/>
            <w:hideMark/>
          </w:tcPr>
          <w:p w14:paraId="3C687433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 xml:space="preserve">FDA draft </w:t>
            </w:r>
          </w:p>
        </w:tc>
      </w:tr>
      <w:tr w:rsidR="00372391" w:rsidRPr="00372391" w14:paraId="20E749FD" w14:textId="77777777" w:rsidTr="006855F3">
        <w:tc>
          <w:tcPr>
            <w:tcW w:w="0" w:type="auto"/>
            <w:hideMark/>
          </w:tcPr>
          <w:p w14:paraId="14497D6D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Governance &amp; Standards</w:t>
            </w:r>
          </w:p>
        </w:tc>
        <w:tc>
          <w:tcPr>
            <w:tcW w:w="0" w:type="auto"/>
            <w:hideMark/>
          </w:tcPr>
          <w:p w14:paraId="625D7EF6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Adhere to IEC 62304, ISO 14971, leverage design controls (21 CFR 820.30), and maintain records per ISO 13485. Ensure traceability and design history documentation.</w:t>
            </w:r>
          </w:p>
        </w:tc>
        <w:tc>
          <w:tcPr>
            <w:tcW w:w="0" w:type="auto"/>
            <w:hideMark/>
          </w:tcPr>
          <w:p w14:paraId="37DC7E5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IEC/ISO standards </w:t>
            </w:r>
          </w:p>
        </w:tc>
      </w:tr>
      <w:tr w:rsidR="00372391" w:rsidRPr="00372391" w14:paraId="4D72B6AB" w14:textId="77777777" w:rsidTr="006855F3">
        <w:tc>
          <w:tcPr>
            <w:tcW w:w="0" w:type="auto"/>
            <w:hideMark/>
          </w:tcPr>
          <w:p w14:paraId="640E30D8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Trustworthy AI Principles</w:t>
            </w:r>
          </w:p>
        </w:tc>
        <w:tc>
          <w:tcPr>
            <w:tcW w:w="0" w:type="auto"/>
            <w:hideMark/>
          </w:tcPr>
          <w:p w14:paraId="0F74C8A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Embed fairness, universality, traceability, usability, robustness, and explainability—FUTURE</w:t>
            </w:r>
            <w:r w:rsidRPr="00372391">
              <w:rPr>
                <w:sz w:val="28"/>
                <w:szCs w:val="28"/>
              </w:rPr>
              <w:noBreakHyphen/>
              <w:t>AI consensus framework—to promote trust in clinical deployment.</w:t>
            </w:r>
          </w:p>
        </w:tc>
        <w:tc>
          <w:tcPr>
            <w:tcW w:w="0" w:type="auto"/>
            <w:hideMark/>
          </w:tcPr>
          <w:p w14:paraId="0E437881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FUTURE-AI </w:t>
            </w:r>
          </w:p>
        </w:tc>
      </w:tr>
    </w:tbl>
    <w:p w14:paraId="44D694BD" w14:textId="1742C872" w:rsidR="00372391" w:rsidRDefault="006855F3" w:rsidP="00372391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280FD5C5" w14:textId="77777777" w:rsidR="000F2BDD" w:rsidRPr="00372391" w:rsidRDefault="000F2BDD" w:rsidP="00372391">
      <w:pPr>
        <w:rPr>
          <w:sz w:val="28"/>
          <w:szCs w:val="28"/>
        </w:rPr>
      </w:pPr>
    </w:p>
    <w:p w14:paraId="34466FC7" w14:textId="4971F36F" w:rsidR="00372391" w:rsidRPr="00372391" w:rsidRDefault="000F2BDD" w:rsidP="00372391">
      <w:pPr>
        <w:rPr>
          <w:b/>
          <w:bCs/>
          <w:sz w:val="28"/>
          <w:szCs w:val="28"/>
        </w:rPr>
      </w:pPr>
      <w:r w:rsidRPr="000F2BDD">
        <w:rPr>
          <w:b/>
          <w:bCs/>
          <w:sz w:val="28"/>
          <w:szCs w:val="28"/>
        </w:rPr>
        <w:lastRenderedPageBreak/>
        <w:t>Table :2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5474"/>
        <w:gridCol w:w="1288"/>
      </w:tblGrid>
      <w:tr w:rsidR="00372391" w:rsidRPr="00372391" w14:paraId="670D2471" w14:textId="77777777" w:rsidTr="006855F3">
        <w:tc>
          <w:tcPr>
            <w:tcW w:w="0" w:type="auto"/>
            <w:hideMark/>
          </w:tcPr>
          <w:p w14:paraId="0D3B0401" w14:textId="77777777" w:rsidR="00372391" w:rsidRPr="00372391" w:rsidRDefault="00372391" w:rsidP="0037239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14:paraId="2C15649E" w14:textId="77777777" w:rsidR="00372391" w:rsidRPr="00372391" w:rsidRDefault="00372391" w:rsidP="0037239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4BC1DB76" w14:textId="77777777" w:rsidR="00372391" w:rsidRPr="00372391" w:rsidRDefault="00372391" w:rsidP="0037239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Technology / Standard</w:t>
            </w:r>
          </w:p>
        </w:tc>
      </w:tr>
      <w:tr w:rsidR="00372391" w:rsidRPr="00372391" w14:paraId="36806111" w14:textId="77777777" w:rsidTr="006855F3">
        <w:tc>
          <w:tcPr>
            <w:tcW w:w="0" w:type="auto"/>
            <w:hideMark/>
          </w:tcPr>
          <w:p w14:paraId="7E3BF67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("Ingestion API", "Secure endpoint for EMR, DICOM, histology, omics", "REST, gRPC, TLS/AES</w:t>
            </w:r>
            <w:r w:rsidRPr="00372391">
              <w:rPr>
                <w:sz w:val="28"/>
                <w:szCs w:val="28"/>
              </w:rPr>
              <w:noBreakHyphen/>
              <w:t>256")</w:t>
            </w:r>
          </w:p>
        </w:tc>
        <w:tc>
          <w:tcPr>
            <w:tcW w:w="0" w:type="auto"/>
            <w:hideMark/>
          </w:tcPr>
          <w:p w14:paraId="5D6A1C6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Accepts structured and unstructured inputs, ensures encrypted transport.</w:t>
            </w:r>
          </w:p>
        </w:tc>
        <w:tc>
          <w:tcPr>
            <w:tcW w:w="0" w:type="auto"/>
            <w:hideMark/>
          </w:tcPr>
          <w:p w14:paraId="4AD05CA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684B41CB" w14:textId="77777777" w:rsidTr="006855F3">
        <w:tc>
          <w:tcPr>
            <w:tcW w:w="0" w:type="auto"/>
            <w:hideMark/>
          </w:tcPr>
          <w:p w14:paraId="7618AB8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("Storage", "Encrypted storage for structured and image data", "SQL/NoSQL, Object Store, AES</w:t>
            </w:r>
            <w:r w:rsidRPr="00372391">
              <w:rPr>
                <w:sz w:val="28"/>
                <w:szCs w:val="28"/>
              </w:rPr>
              <w:noBreakHyphen/>
              <w:t>256")</w:t>
            </w:r>
          </w:p>
        </w:tc>
        <w:tc>
          <w:tcPr>
            <w:tcW w:w="0" w:type="auto"/>
            <w:hideMark/>
          </w:tcPr>
          <w:p w14:paraId="2B7A5362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Stores lab/clinical records, images, WSIs with security at rest.</w:t>
            </w:r>
          </w:p>
        </w:tc>
        <w:tc>
          <w:tcPr>
            <w:tcW w:w="0" w:type="auto"/>
            <w:hideMark/>
          </w:tcPr>
          <w:p w14:paraId="0EDDA68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373EC9F8" w14:textId="77777777" w:rsidTr="006855F3">
        <w:tc>
          <w:tcPr>
            <w:tcW w:w="0" w:type="auto"/>
            <w:hideMark/>
          </w:tcPr>
          <w:p w14:paraId="2A27E908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("Preprocessing", "Data cleaning, normalization, image segmentation &amp; radiomics extraction", "Pandas/sklearn, MONAI, U</w:t>
            </w:r>
            <w:r w:rsidRPr="00372391">
              <w:rPr>
                <w:sz w:val="28"/>
                <w:szCs w:val="28"/>
              </w:rPr>
              <w:noBreakHyphen/>
              <w:t>Net, TransUNet")</w:t>
            </w:r>
          </w:p>
        </w:tc>
        <w:tc>
          <w:tcPr>
            <w:tcW w:w="0" w:type="auto"/>
            <w:hideMark/>
          </w:tcPr>
          <w:p w14:paraId="58239B0A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Prepares raw data for model input.</w:t>
            </w:r>
          </w:p>
        </w:tc>
        <w:tc>
          <w:tcPr>
            <w:tcW w:w="0" w:type="auto"/>
            <w:hideMark/>
          </w:tcPr>
          <w:p w14:paraId="68FFC53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6662519" w14:textId="77777777" w:rsidTr="006855F3">
        <w:tc>
          <w:tcPr>
            <w:tcW w:w="0" w:type="auto"/>
            <w:hideMark/>
          </w:tcPr>
          <w:p w14:paraId="7ED6FEE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("Feature Store", "Central repository for processed features", "Feast, </w:t>
            </w:r>
            <w:r w:rsidRPr="00372391">
              <w:rPr>
                <w:sz w:val="28"/>
                <w:szCs w:val="28"/>
              </w:rPr>
              <w:lastRenderedPageBreak/>
              <w:t>Azure Feature Store")</w:t>
            </w:r>
          </w:p>
        </w:tc>
        <w:tc>
          <w:tcPr>
            <w:tcW w:w="0" w:type="auto"/>
            <w:hideMark/>
          </w:tcPr>
          <w:p w14:paraId="18FD5BD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>Ensures consistent feature retrieval during train and serve.</w:t>
            </w:r>
          </w:p>
        </w:tc>
        <w:tc>
          <w:tcPr>
            <w:tcW w:w="0" w:type="auto"/>
            <w:hideMark/>
          </w:tcPr>
          <w:p w14:paraId="4AB8962D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11A12652" w14:textId="77777777" w:rsidTr="006855F3">
        <w:tc>
          <w:tcPr>
            <w:tcW w:w="0" w:type="auto"/>
            <w:hideMark/>
          </w:tcPr>
          <w:p w14:paraId="37AA076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("Model Training", "Train ML/DL models and ensembles", "scikit</w:t>
            </w:r>
            <w:r w:rsidRPr="00372391">
              <w:rPr>
                <w:sz w:val="28"/>
                <w:szCs w:val="28"/>
              </w:rPr>
              <w:noBreakHyphen/>
              <w:t>learn, LightGBM, XGBoost, PyTorch/TensorFlow")</w:t>
            </w:r>
          </w:p>
        </w:tc>
        <w:tc>
          <w:tcPr>
            <w:tcW w:w="0" w:type="auto"/>
            <w:hideMark/>
          </w:tcPr>
          <w:p w14:paraId="10E9B8C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Core modeling layer for risk prediction.</w:t>
            </w:r>
          </w:p>
        </w:tc>
        <w:tc>
          <w:tcPr>
            <w:tcW w:w="0" w:type="auto"/>
            <w:hideMark/>
          </w:tcPr>
          <w:p w14:paraId="716382E3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347C3A87" w14:textId="77777777" w:rsidTr="006855F3">
        <w:tc>
          <w:tcPr>
            <w:tcW w:w="0" w:type="auto"/>
            <w:hideMark/>
          </w:tcPr>
          <w:p w14:paraId="6E47C1F9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("Explainability", "Generate feature importance &amp; visual heatmaps", "SHAP/LIME, Grad</w:t>
            </w:r>
            <w:r w:rsidRPr="00372391">
              <w:rPr>
                <w:sz w:val="28"/>
                <w:szCs w:val="28"/>
              </w:rPr>
              <w:noBreakHyphen/>
              <w:t>CAM")</w:t>
            </w:r>
          </w:p>
        </w:tc>
        <w:tc>
          <w:tcPr>
            <w:tcW w:w="0" w:type="auto"/>
            <w:hideMark/>
          </w:tcPr>
          <w:p w14:paraId="51E95169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Provides interpretability for clinician review.</w:t>
            </w:r>
          </w:p>
        </w:tc>
        <w:tc>
          <w:tcPr>
            <w:tcW w:w="0" w:type="auto"/>
            <w:hideMark/>
          </w:tcPr>
          <w:p w14:paraId="7EE50EF8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4F5B39BD" w14:textId="77777777" w:rsidTr="006855F3">
        <w:tc>
          <w:tcPr>
            <w:tcW w:w="0" w:type="auto"/>
            <w:hideMark/>
          </w:tcPr>
          <w:p w14:paraId="1CDE1F6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("Validation", "Cross-validation, benchmark metrics, external testing", "sklearn cv, AUROC, Dice, calibration")</w:t>
            </w:r>
          </w:p>
        </w:tc>
        <w:tc>
          <w:tcPr>
            <w:tcW w:w="0" w:type="auto"/>
            <w:hideMark/>
          </w:tcPr>
          <w:p w14:paraId="10670AB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Ensures model performance and generalization.</w:t>
            </w:r>
          </w:p>
        </w:tc>
        <w:tc>
          <w:tcPr>
            <w:tcW w:w="0" w:type="auto"/>
            <w:hideMark/>
          </w:tcPr>
          <w:p w14:paraId="5C12914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170F4F61" w14:textId="77777777" w:rsidTr="006855F3">
        <w:tc>
          <w:tcPr>
            <w:tcW w:w="0" w:type="auto"/>
            <w:hideMark/>
          </w:tcPr>
          <w:p w14:paraId="79C2DA4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("Inference Service", "Expose real-time risk prediction API", "Docker/K8s, REST/gRPC, &lt;500 ms latency")</w:t>
            </w:r>
          </w:p>
        </w:tc>
        <w:tc>
          <w:tcPr>
            <w:tcW w:w="0" w:type="auto"/>
            <w:hideMark/>
          </w:tcPr>
          <w:p w14:paraId="433DC99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Enables clinical-grade, fast risk assessments.</w:t>
            </w:r>
          </w:p>
        </w:tc>
        <w:tc>
          <w:tcPr>
            <w:tcW w:w="0" w:type="auto"/>
            <w:hideMark/>
          </w:tcPr>
          <w:p w14:paraId="346B6505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56EDA1A" w14:textId="77777777" w:rsidTr="006855F3">
        <w:tc>
          <w:tcPr>
            <w:tcW w:w="0" w:type="auto"/>
            <w:hideMark/>
          </w:tcPr>
          <w:p w14:paraId="4164F88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>("Dashboard UI", "Visual interface for data input, results &amp; explanations", "React/Vue, medical image viewer")</w:t>
            </w:r>
          </w:p>
        </w:tc>
        <w:tc>
          <w:tcPr>
            <w:tcW w:w="0" w:type="auto"/>
            <w:hideMark/>
          </w:tcPr>
          <w:p w14:paraId="59A041E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Clinician-facing interface with usability features.</w:t>
            </w:r>
          </w:p>
        </w:tc>
        <w:tc>
          <w:tcPr>
            <w:tcW w:w="0" w:type="auto"/>
            <w:hideMark/>
          </w:tcPr>
          <w:p w14:paraId="740CADA7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783A5C0" w14:textId="77777777" w:rsidTr="006855F3">
        <w:tc>
          <w:tcPr>
            <w:tcW w:w="0" w:type="auto"/>
            <w:hideMark/>
          </w:tcPr>
          <w:p w14:paraId="28B1E9CB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("EMR/PACS Integration", "Seamless embedding into hospital workflows", "FHIR, DICOM, HL</w:t>
            </w:r>
            <w:r w:rsidRPr="00372391">
              <w:rPr>
                <w:sz w:val="28"/>
                <w:szCs w:val="28"/>
              </w:rPr>
              <w:noBreakHyphen/>
              <w:t>7, IHE XDS.b")</w:t>
            </w:r>
          </w:p>
        </w:tc>
        <w:tc>
          <w:tcPr>
            <w:tcW w:w="0" w:type="auto"/>
            <w:hideMark/>
          </w:tcPr>
          <w:p w14:paraId="4C62DC2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Ensures interoperability and automated data flow </w:t>
            </w:r>
            <w:hyperlink r:id="rId9" w:tgtFrame="_blank" w:history="1">
              <w:r w:rsidRPr="00372391">
                <w:rPr>
                  <w:rStyle w:val="Hyperlink"/>
                  <w:sz w:val="28"/>
                  <w:szCs w:val="28"/>
                </w:rPr>
                <w:t>chat2db.ai+6ncbi.nlm.nih.gov+6aalpha.net+6</w:t>
              </w:r>
            </w:hyperlink>
            <w:hyperlink r:id="rId10" w:tgtFrame="_blank" w:history="1">
              <w:r w:rsidRPr="00372391">
                <w:rPr>
                  <w:rStyle w:val="Hyperlink"/>
                  <w:sz w:val="28"/>
                  <w:szCs w:val="28"/>
                </w:rPr>
                <w:t>aalpha.net</w:t>
              </w:r>
            </w:hyperlink>
            <w:r w:rsidRPr="003723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07A38721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1D5EFEB3" w14:textId="77777777" w:rsidTr="006855F3">
        <w:tc>
          <w:tcPr>
            <w:tcW w:w="0" w:type="auto"/>
            <w:hideMark/>
          </w:tcPr>
          <w:p w14:paraId="007A896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("Monitoring &amp; Ops", "Track performance &amp; trigger retraining", "Prometheus, Grafana, CI/CD, drift detection")</w:t>
            </w:r>
          </w:p>
        </w:tc>
        <w:tc>
          <w:tcPr>
            <w:tcW w:w="0" w:type="auto"/>
            <w:hideMark/>
          </w:tcPr>
          <w:p w14:paraId="77F5CEF1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Operational reliability with alerting and metrics.</w:t>
            </w:r>
          </w:p>
        </w:tc>
        <w:tc>
          <w:tcPr>
            <w:tcW w:w="0" w:type="auto"/>
            <w:hideMark/>
          </w:tcPr>
          <w:p w14:paraId="2C10D8E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0E9E305F" w14:textId="77777777" w:rsidTr="006855F3">
        <w:tc>
          <w:tcPr>
            <w:tcW w:w="0" w:type="auto"/>
            <w:hideMark/>
          </w:tcPr>
          <w:p w14:paraId="605DE381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("Security &amp; Compliance", "End-to-end protection and audit logging", "RBAC, GDPR/HIPAA, ISO 13485, audit trails")</w:t>
            </w:r>
          </w:p>
        </w:tc>
        <w:tc>
          <w:tcPr>
            <w:tcW w:w="0" w:type="auto"/>
            <w:hideMark/>
          </w:tcPr>
          <w:p w14:paraId="0CEDBAD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Meets regulatory and privacy requirements.</w:t>
            </w:r>
          </w:p>
        </w:tc>
        <w:tc>
          <w:tcPr>
            <w:tcW w:w="0" w:type="auto"/>
            <w:hideMark/>
          </w:tcPr>
          <w:p w14:paraId="17255798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10A2262" w14:textId="77777777" w:rsidTr="006855F3">
        <w:tc>
          <w:tcPr>
            <w:tcW w:w="0" w:type="auto"/>
            <w:hideMark/>
          </w:tcPr>
          <w:p w14:paraId="65B2714B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>("Model Registry", "Versioning, lineage, reproducibility", "MLflow, DVC, Model cards")</w:t>
            </w:r>
          </w:p>
        </w:tc>
        <w:tc>
          <w:tcPr>
            <w:tcW w:w="0" w:type="auto"/>
            <w:hideMark/>
          </w:tcPr>
          <w:p w14:paraId="09B140B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Controls model lifecycle and traceability.</w:t>
            </w:r>
          </w:p>
        </w:tc>
        <w:tc>
          <w:tcPr>
            <w:tcW w:w="0" w:type="auto"/>
            <w:hideMark/>
          </w:tcPr>
          <w:p w14:paraId="700C4042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68CB55FF" w14:textId="77777777" w:rsidR="00C26C91" w:rsidRPr="007B1D20" w:rsidRDefault="00C26C91" w:rsidP="005A55A2">
      <w:pPr>
        <w:rPr>
          <w:sz w:val="28"/>
          <w:szCs w:val="28"/>
        </w:rPr>
      </w:pPr>
    </w:p>
    <w:sectPr w:rsidR="00C26C91" w:rsidRPr="007B1D2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F01B8" w14:textId="77777777" w:rsidR="00226EE8" w:rsidRDefault="00226EE8" w:rsidP="0037595F">
      <w:pPr>
        <w:spacing w:after="0" w:line="240" w:lineRule="auto"/>
      </w:pPr>
      <w:r>
        <w:separator/>
      </w:r>
    </w:p>
  </w:endnote>
  <w:endnote w:type="continuationSeparator" w:id="0">
    <w:p w14:paraId="75D86269" w14:textId="77777777" w:rsidR="00226EE8" w:rsidRDefault="00226EE8" w:rsidP="0037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0D309" w14:textId="77777777" w:rsidR="00226EE8" w:rsidRDefault="00226EE8" w:rsidP="0037595F">
      <w:pPr>
        <w:spacing w:after="0" w:line="240" w:lineRule="auto"/>
      </w:pPr>
      <w:r>
        <w:separator/>
      </w:r>
    </w:p>
  </w:footnote>
  <w:footnote w:type="continuationSeparator" w:id="0">
    <w:p w14:paraId="6B93453F" w14:textId="77777777" w:rsidR="00226EE8" w:rsidRDefault="00226EE8" w:rsidP="0037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73BE" w14:textId="5482229A" w:rsidR="0037595F" w:rsidRPr="0037595F" w:rsidRDefault="0037595F" w:rsidP="0037595F">
    <w:pPr>
      <w:pStyle w:val="Header"/>
      <w:rPr>
        <w:b/>
      </w:rPr>
    </w:pPr>
    <w:r>
      <w:rPr>
        <w:b/>
      </w:rPr>
      <w:t xml:space="preserve">  </w:t>
    </w:r>
  </w:p>
  <w:p w14:paraId="67ADD673" w14:textId="77777777" w:rsidR="00403573" w:rsidRPr="00403573" w:rsidRDefault="0037595F" w:rsidP="00403573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</w:t>
    </w:r>
    <w:r w:rsidR="00403573" w:rsidRPr="00403573">
      <w:rPr>
        <w:b/>
        <w:sz w:val="32"/>
        <w:szCs w:val="32"/>
      </w:rPr>
      <w:t>Project Design Phase-II</w:t>
    </w:r>
  </w:p>
  <w:p w14:paraId="4F4307E9" w14:textId="7E627CC1" w:rsidR="0037595F" w:rsidRDefault="00403573" w:rsidP="0037595F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</w:t>
    </w:r>
    <w:r w:rsidRPr="00403573">
      <w:rPr>
        <w:b/>
        <w:sz w:val="32"/>
        <w:szCs w:val="32"/>
      </w:rPr>
      <w:t>Technology Stack (Architecture &amp; Stack)</w:t>
    </w:r>
  </w:p>
  <w:p w14:paraId="28145AE6" w14:textId="5AA18533" w:rsidR="00B41815" w:rsidRPr="00651548" w:rsidRDefault="00B41815" w:rsidP="0037595F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FBB"/>
    <w:multiLevelType w:val="multilevel"/>
    <w:tmpl w:val="1A0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34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B1"/>
    <w:rsid w:val="000B01E4"/>
    <w:rsid w:val="000C233C"/>
    <w:rsid w:val="000D37CA"/>
    <w:rsid w:val="000F2BDD"/>
    <w:rsid w:val="00130626"/>
    <w:rsid w:val="00226EE8"/>
    <w:rsid w:val="002950B1"/>
    <w:rsid w:val="002A2112"/>
    <w:rsid w:val="002C2389"/>
    <w:rsid w:val="00372391"/>
    <w:rsid w:val="0037595F"/>
    <w:rsid w:val="00403573"/>
    <w:rsid w:val="005165AE"/>
    <w:rsid w:val="005A55A2"/>
    <w:rsid w:val="0060759D"/>
    <w:rsid w:val="00651548"/>
    <w:rsid w:val="006855F3"/>
    <w:rsid w:val="007A1EFB"/>
    <w:rsid w:val="007B1D20"/>
    <w:rsid w:val="007D0C80"/>
    <w:rsid w:val="00805A39"/>
    <w:rsid w:val="00B41815"/>
    <w:rsid w:val="00C26C91"/>
    <w:rsid w:val="00C4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5F50B"/>
  <w15:chartTrackingRefBased/>
  <w15:docId w15:val="{C5469EAA-738D-43D2-8A2B-B009C049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5A2"/>
  </w:style>
  <w:style w:type="paragraph" w:styleId="Heading1">
    <w:name w:val="heading 1"/>
    <w:basedOn w:val="Normal"/>
    <w:next w:val="Normal"/>
    <w:link w:val="Heading1Char"/>
    <w:uiPriority w:val="9"/>
    <w:qFormat/>
    <w:rsid w:val="0029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0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5F"/>
  </w:style>
  <w:style w:type="paragraph" w:styleId="Footer">
    <w:name w:val="footer"/>
    <w:basedOn w:val="Normal"/>
    <w:link w:val="FooterChar"/>
    <w:uiPriority w:val="99"/>
    <w:unhideWhenUsed/>
    <w:rsid w:val="0037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5F"/>
  </w:style>
  <w:style w:type="character" w:styleId="Hyperlink">
    <w:name w:val="Hyperlink"/>
    <w:basedOn w:val="DefaultParagraphFont"/>
    <w:uiPriority w:val="99"/>
    <w:unhideWhenUsed/>
    <w:rsid w:val="00372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5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4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1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3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5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4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healthglobal.com/fda-issues-draft-guidance-for-ai-enabled-medical-devices-key-recommendations-and-updates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alpha.net/blog/how-to-build-ai-agent-for-healthcar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602594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kamapalli kalyan</cp:lastModifiedBy>
  <cp:revision>19</cp:revision>
  <dcterms:created xsi:type="dcterms:W3CDTF">2025-06-27T10:39:00Z</dcterms:created>
  <dcterms:modified xsi:type="dcterms:W3CDTF">2025-07-06T05:13:00Z</dcterms:modified>
</cp:coreProperties>
</file>