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STUDENT PERFORMANCE PREDICTION</w:t>
      </w:r>
    </w:p>
    <w:p>
      <w:r>
        <w:t>Author: Kalyan Mahata</w:t>
      </w:r>
    </w:p>
    <w:p>
      <w:r>
        <w:t>Project Type: Python Data Analytics and Machine Learning Project</w:t>
      </w:r>
    </w:p>
    <w:p>
      <w:pPr>
        <w:pStyle w:val="Heading2"/>
      </w:pPr>
      <w:r>
        <w:t>1. Executive Summary</w:t>
      </w:r>
    </w:p>
    <w:p>
      <w:r>
        <w:t>This project analyzes the real student data file in the workspace. The dataset contains 15 rows and 13 columns, and the target variable is PreviousGrade. The analysis explores academic and demographic variables associated with final grades and builds machine learning regression models for prediction.</w:t>
      </w:r>
    </w:p>
    <w:p>
      <w:pPr>
        <w:pStyle w:val="Heading2"/>
      </w:pPr>
      <w:r>
        <w:t>2. Dataset Description</w:t>
      </w:r>
    </w:p>
    <w:p>
      <w:r>
        <w:t>The dataset includes actual student records with academic, attendance, and behavioral information. The target variable is PreviousGrade.</w:t>
      </w:r>
    </w:p>
    <w:p>
      <w:pPr>
        <w:pStyle w:val="Heading2"/>
      </w:pPr>
      <w:r>
        <w:t>3. Data Cleaning and Preprocessing</w:t>
      </w:r>
    </w:p>
    <w:p>
      <w:r>
        <w:t>The project removes duplicate records, handles missing values, standardizes categorical text, and uses train-test splitting with random_state=42. This reduces leakage and keeps the process reproducible.</w:t>
      </w:r>
    </w:p>
    <w:p>
      <w:pPr>
        <w:pStyle w:val="Heading2"/>
      </w:pPr>
      <w:r>
        <w:t>4. KPI Analysis</w:t>
      </w:r>
    </w:p>
    <w:tbl>
      <w:tblPr>
        <w:tblStyle w:val="TableGrid"/>
        <w:tblW w:type="auto" w:w="0"/>
        <w:tblLook w:firstColumn="1" w:firstRow="1" w:lastColumn="0" w:lastRow="0" w:noHBand="0" w:noVBand="1" w:val="04A0"/>
      </w:tblPr>
      <w:tblGrid>
        <w:gridCol w:w="2880"/>
        <w:gridCol w:w="2880"/>
        <w:gridCol w:w="2880"/>
      </w:tblGrid>
      <w:tr>
        <w:tc>
          <w:tcPr>
            <w:tcW w:type="dxa" w:w="2880"/>
          </w:tcPr>
          <w:p>
            <w:r>
              <w:t>KPI</w:t>
            </w:r>
          </w:p>
        </w:tc>
        <w:tc>
          <w:tcPr>
            <w:tcW w:type="dxa" w:w="2880"/>
          </w:tcPr>
          <w:p>
            <w:r>
              <w:t>Value</w:t>
            </w:r>
          </w:p>
        </w:tc>
        <w:tc>
          <w:tcPr>
            <w:tcW w:type="dxa" w:w="2880"/>
          </w:tcPr>
          <w:p>
            <w:r>
              <w:t>Interpretation</w:t>
            </w:r>
          </w:p>
        </w:tc>
      </w:tr>
      <w:tr>
        <w:tc>
          <w:tcPr>
            <w:tcW w:type="dxa" w:w="2880"/>
          </w:tcPr>
          <w:p>
            <w:r>
              <w:t>Total Students</w:t>
            </w:r>
          </w:p>
        </w:tc>
        <w:tc>
          <w:tcPr>
            <w:tcW w:type="dxa" w:w="2880"/>
          </w:tcPr>
          <w:p>
            <w:r>
              <w:t>15</w:t>
            </w:r>
          </w:p>
        </w:tc>
        <w:tc>
          <w:tcPr>
            <w:tcW w:type="dxa" w:w="2880"/>
          </w:tcPr>
          <w:p>
            <w:r>
              <w:t>Number of records analysed</w:t>
            </w:r>
          </w:p>
        </w:tc>
      </w:tr>
      <w:tr>
        <w:tc>
          <w:tcPr>
            <w:tcW w:type="dxa" w:w="2880"/>
          </w:tcPr>
          <w:p>
            <w:r>
              <w:t>Average Score</w:t>
            </w:r>
          </w:p>
        </w:tc>
        <w:tc>
          <w:tcPr>
            <w:tcW w:type="dxa" w:w="2880"/>
          </w:tcPr>
          <w:p>
            <w:r>
              <w:t>78.6</w:t>
            </w:r>
          </w:p>
        </w:tc>
        <w:tc>
          <w:tcPr>
            <w:tcW w:type="dxa" w:w="2880"/>
          </w:tcPr>
          <w:p>
            <w:r>
              <w:t>Mean final grade</w:t>
            </w:r>
          </w:p>
        </w:tc>
      </w:tr>
      <w:tr>
        <w:tc>
          <w:tcPr>
            <w:tcW w:type="dxa" w:w="2880"/>
          </w:tcPr>
          <w:p>
            <w:r>
              <w:t>Average Attendance</w:t>
            </w:r>
          </w:p>
        </w:tc>
        <w:tc>
          <w:tcPr>
            <w:tcW w:type="dxa" w:w="2880"/>
          </w:tcPr>
          <w:p>
            <w:r>
              <w:t>84.64%</w:t>
            </w:r>
          </w:p>
        </w:tc>
        <w:tc>
          <w:tcPr>
            <w:tcW w:type="dxa" w:w="2880"/>
          </w:tcPr>
          <w:p>
            <w:r>
              <w:t>Mean attendance rate</w:t>
            </w:r>
          </w:p>
        </w:tc>
      </w:tr>
      <w:tr>
        <w:tc>
          <w:tcPr>
            <w:tcW w:type="dxa" w:w="2880"/>
          </w:tcPr>
          <w:p>
            <w:r>
              <w:t>Pass Rate</w:t>
            </w:r>
          </w:p>
        </w:tc>
        <w:tc>
          <w:tcPr>
            <w:tcW w:type="dxa" w:w="2880"/>
          </w:tcPr>
          <w:p>
            <w:r>
              <w:t>100.0%</w:t>
            </w:r>
          </w:p>
        </w:tc>
        <w:tc>
          <w:tcPr>
            <w:tcW w:type="dxa" w:w="2880"/>
          </w:tcPr>
          <w:p>
            <w:r>
              <w:t>Students scoring at least 60</w:t>
            </w:r>
          </w:p>
        </w:tc>
      </w:tr>
      <w:tr>
        <w:tc>
          <w:tcPr>
            <w:tcW w:type="dxa" w:w="2880"/>
          </w:tcPr>
          <w:p>
            <w:r>
              <w:t>High Performer %</w:t>
            </w:r>
          </w:p>
        </w:tc>
        <w:tc>
          <w:tcPr>
            <w:tcW w:type="dxa" w:w="2880"/>
          </w:tcPr>
          <w:p>
            <w:r>
              <w:t>33.33%</w:t>
            </w:r>
          </w:p>
        </w:tc>
        <w:tc>
          <w:tcPr>
            <w:tcW w:type="dxa" w:w="2880"/>
          </w:tcPr>
          <w:p>
            <w:r>
              <w:t>Students scoring 85 or above</w:t>
            </w:r>
          </w:p>
        </w:tc>
      </w:tr>
      <w:tr>
        <w:tc>
          <w:tcPr>
            <w:tcW w:type="dxa" w:w="2880"/>
          </w:tcPr>
          <w:p>
            <w:r>
              <w:t>At-Risk %</w:t>
            </w:r>
          </w:p>
        </w:tc>
        <w:tc>
          <w:tcPr>
            <w:tcW w:type="dxa" w:w="2880"/>
          </w:tcPr>
          <w:p>
            <w:r>
              <w:t>0.0%</w:t>
            </w:r>
          </w:p>
        </w:tc>
        <w:tc>
          <w:tcPr>
            <w:tcW w:type="dxa" w:w="2880"/>
          </w:tcPr>
          <w:p>
            <w:r>
              <w:t>Students below 60</w:t>
            </w:r>
          </w:p>
        </w:tc>
      </w:tr>
    </w:tbl>
    <w:p>
      <w:pPr>
        <w:pStyle w:val="Heading2"/>
      </w:pPr>
      <w:r>
        <w:t>5. Model Evaluation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Model</w:t>
            </w:r>
          </w:p>
        </w:tc>
        <w:tc>
          <w:tcPr>
            <w:tcW w:type="dxa" w:w="2160"/>
          </w:tcPr>
          <w:p>
            <w:r>
              <w:t>MAE</w:t>
            </w:r>
          </w:p>
        </w:tc>
        <w:tc>
          <w:tcPr>
            <w:tcW w:type="dxa" w:w="2160"/>
          </w:tcPr>
          <w:p>
            <w:r>
              <w:t>RMSE</w:t>
            </w:r>
          </w:p>
        </w:tc>
        <w:tc>
          <w:tcPr>
            <w:tcW w:type="dxa" w:w="2160"/>
          </w:tcPr>
          <w:p>
            <w:r>
              <w:t>R2</w:t>
            </w:r>
          </w:p>
        </w:tc>
      </w:tr>
      <w:tr>
        <w:tc>
          <w:tcPr>
            <w:tcW w:type="dxa" w:w="2160"/>
          </w:tcPr>
          <w:p>
            <w:r>
              <w:t>LinearRegression</w:t>
            </w:r>
          </w:p>
        </w:tc>
        <w:tc>
          <w:tcPr>
            <w:tcW w:type="dxa" w:w="2160"/>
          </w:tcPr>
          <w:p>
            <w:r>
              <w:t>3.1426</w:t>
            </w:r>
          </w:p>
        </w:tc>
        <w:tc>
          <w:tcPr>
            <w:tcW w:type="dxa" w:w="2160"/>
          </w:tcPr>
          <w:p>
            <w:r>
              <w:t>3.3170</w:t>
            </w:r>
          </w:p>
        </w:tc>
        <w:tc>
          <w:tcPr>
            <w:tcW w:type="dxa" w:w="2160"/>
          </w:tcPr>
          <w:p>
            <w:r>
              <w:t>0.2141</w:t>
            </w:r>
          </w:p>
        </w:tc>
      </w:tr>
      <w:tr>
        <w:tc>
          <w:tcPr>
            <w:tcW w:type="dxa" w:w="2160"/>
          </w:tcPr>
          <w:p>
            <w:r>
              <w:t>RandomForest</w:t>
            </w:r>
          </w:p>
        </w:tc>
        <w:tc>
          <w:tcPr>
            <w:tcW w:type="dxa" w:w="2160"/>
          </w:tcPr>
          <w:p>
            <w:r>
              <w:t>0.5611</w:t>
            </w:r>
          </w:p>
        </w:tc>
        <w:tc>
          <w:tcPr>
            <w:tcW w:type="dxa" w:w="2160"/>
          </w:tcPr>
          <w:p>
            <w:r>
              <w:t>0.6956</w:t>
            </w:r>
          </w:p>
        </w:tc>
        <w:tc>
          <w:tcPr>
            <w:tcW w:type="dxa" w:w="2160"/>
          </w:tcPr>
          <w:p>
            <w:r>
              <w:t>0.9654</w:t>
            </w:r>
          </w:p>
        </w:tc>
      </w:tr>
      <w:tr>
        <w:tc>
          <w:tcPr>
            <w:tcW w:type="dxa" w:w="2160"/>
          </w:tcPr>
          <w:p>
            <w:r>
              <w:t>GradientBoosting</w:t>
            </w:r>
          </w:p>
        </w:tc>
        <w:tc>
          <w:tcPr>
            <w:tcW w:type="dxa" w:w="2160"/>
          </w:tcPr>
          <w:p>
            <w:r>
              <w:t>0.4297</w:t>
            </w:r>
          </w:p>
        </w:tc>
        <w:tc>
          <w:tcPr>
            <w:tcW w:type="dxa" w:w="2160"/>
          </w:tcPr>
          <w:p>
            <w:r>
              <w:t>0.4705</w:t>
            </w:r>
          </w:p>
        </w:tc>
        <w:tc>
          <w:tcPr>
            <w:tcW w:type="dxa" w:w="2160"/>
          </w:tcPr>
          <w:p>
            <w:r>
              <w:t>0.9842</w:t>
            </w:r>
          </w:p>
        </w:tc>
      </w:tr>
    </w:tbl>
    <w:p>
      <w:pPr>
        <w:pStyle w:val="Heading3"/>
      </w:pPr>
      <w:r>
        <w:t>Figure: Performance Distribution</w:t>
      </w:r>
    </w:p>
    <w:p>
      <w:r>
        <w:drawing>
          <wp:inline xmlns:a="http://schemas.openxmlformats.org/drawingml/2006/main" xmlns:pic="http://schemas.openxmlformats.org/drawingml/2006/picture">
            <wp:extent cx="6000000" cy="3750000"/>
            <wp:docPr id="1" name="Picture 1"/>
            <wp:cNvGraphicFramePr>
              <a:graphicFrameLocks noChangeAspect="1"/>
            </wp:cNvGraphicFramePr>
            <a:graphic>
              <a:graphicData uri="http://schemas.openxmlformats.org/drawingml/2006/picture">
                <pic:pic>
                  <pic:nvPicPr>
                    <pic:cNvPr id="0" name="performance_distribution.png"/>
                    <pic:cNvPicPr/>
                  </pic:nvPicPr>
                  <pic:blipFill>
                    <a:blip r:embed="rId9"/>
                    <a:stretch>
                      <a:fillRect/>
                    </a:stretch>
                  </pic:blipFill>
                  <pic:spPr>
                    <a:xfrm>
                      <a:off x="0" y="0"/>
                      <a:ext cx="6000000" cy="3750000"/>
                    </a:xfrm>
                    <a:prstGeom prst="rect"/>
                  </pic:spPr>
                </pic:pic>
              </a:graphicData>
            </a:graphic>
          </wp:inline>
        </w:drawing>
      </w:r>
    </w:p>
    <w:p>
      <w:pPr>
        <w:pStyle w:val="Heading3"/>
      </w:pPr>
      <w:r>
        <w:t>Figure: Gender Performance</w:t>
      </w:r>
    </w:p>
    <w:p>
      <w:r>
        <w:drawing>
          <wp:inline xmlns:a="http://schemas.openxmlformats.org/drawingml/2006/main" xmlns:pic="http://schemas.openxmlformats.org/drawingml/2006/picture">
            <wp:extent cx="6000000" cy="4285714"/>
            <wp:docPr id="2" name="Picture 2"/>
            <wp:cNvGraphicFramePr>
              <a:graphicFrameLocks noChangeAspect="1"/>
            </wp:cNvGraphicFramePr>
            <a:graphic>
              <a:graphicData uri="http://schemas.openxmlformats.org/drawingml/2006/picture">
                <pic:pic>
                  <pic:nvPicPr>
                    <pic:cNvPr id="0" name="gender_performance.png"/>
                    <pic:cNvPicPr/>
                  </pic:nvPicPr>
                  <pic:blipFill>
                    <a:blip r:embed="rId10"/>
                    <a:stretch>
                      <a:fillRect/>
                    </a:stretch>
                  </pic:blipFill>
                  <pic:spPr>
                    <a:xfrm>
                      <a:off x="0" y="0"/>
                      <a:ext cx="6000000" cy="4285714"/>
                    </a:xfrm>
                    <a:prstGeom prst="rect"/>
                  </pic:spPr>
                </pic:pic>
              </a:graphicData>
            </a:graphic>
          </wp:inline>
        </w:drawing>
      </w:r>
    </w:p>
    <w:p>
      <w:pPr>
        <w:pStyle w:val="Heading3"/>
      </w:pPr>
      <w:r>
        <w:t>Figure: Attendance Performance</w:t>
      </w:r>
    </w:p>
    <w:p>
      <w:r>
        <w:drawing>
          <wp:inline xmlns:a="http://schemas.openxmlformats.org/drawingml/2006/main" xmlns:pic="http://schemas.openxmlformats.org/drawingml/2006/picture">
            <wp:extent cx="6000000" cy="3750000"/>
            <wp:docPr id="3" name="Picture 3"/>
            <wp:cNvGraphicFramePr>
              <a:graphicFrameLocks noChangeAspect="1"/>
            </wp:cNvGraphicFramePr>
            <a:graphic>
              <a:graphicData uri="http://schemas.openxmlformats.org/drawingml/2006/picture">
                <pic:pic>
                  <pic:nvPicPr>
                    <pic:cNvPr id="0" name="attendance_performance.png"/>
                    <pic:cNvPicPr/>
                  </pic:nvPicPr>
                  <pic:blipFill>
                    <a:blip r:embed="rId11"/>
                    <a:stretch>
                      <a:fillRect/>
                    </a:stretch>
                  </pic:blipFill>
                  <pic:spPr>
                    <a:xfrm>
                      <a:off x="0" y="0"/>
                      <a:ext cx="6000000" cy="3750000"/>
                    </a:xfrm>
                    <a:prstGeom prst="rect"/>
                  </pic:spPr>
                </pic:pic>
              </a:graphicData>
            </a:graphic>
          </wp:inline>
        </w:drawing>
      </w:r>
    </w:p>
    <w:p>
      <w:pPr>
        <w:pStyle w:val="Heading3"/>
      </w:pPr>
      <w:r>
        <w:t>Figure: Study Hours Performance</w:t>
      </w:r>
    </w:p>
    <w:p>
      <w:r>
        <w:drawing>
          <wp:inline xmlns:a="http://schemas.openxmlformats.org/drawingml/2006/main" xmlns:pic="http://schemas.openxmlformats.org/drawingml/2006/picture">
            <wp:extent cx="6000000" cy="3750000"/>
            <wp:docPr id="4" name="Picture 4"/>
            <wp:cNvGraphicFramePr>
              <a:graphicFrameLocks noChangeAspect="1"/>
            </wp:cNvGraphicFramePr>
            <a:graphic>
              <a:graphicData uri="http://schemas.openxmlformats.org/drawingml/2006/picture">
                <pic:pic>
                  <pic:nvPicPr>
                    <pic:cNvPr id="0" name="study_hours_performance.png"/>
                    <pic:cNvPicPr/>
                  </pic:nvPicPr>
                  <pic:blipFill>
                    <a:blip r:embed="rId12"/>
                    <a:stretch>
                      <a:fillRect/>
                    </a:stretch>
                  </pic:blipFill>
                  <pic:spPr>
                    <a:xfrm>
                      <a:off x="0" y="0"/>
                      <a:ext cx="6000000" cy="3750000"/>
                    </a:xfrm>
                    <a:prstGeom prst="rect"/>
                  </pic:spPr>
                </pic:pic>
              </a:graphicData>
            </a:graphic>
          </wp:inline>
        </w:drawing>
      </w:r>
    </w:p>
    <w:p>
      <w:pPr>
        <w:pStyle w:val="Heading3"/>
      </w:pPr>
      <w:r>
        <w:t>Figure: Correlation Heatmap</w:t>
      </w:r>
    </w:p>
    <w:p>
      <w:r>
        <w:drawing>
          <wp:inline xmlns:a="http://schemas.openxmlformats.org/drawingml/2006/main" xmlns:pic="http://schemas.openxmlformats.org/drawingml/2006/picture">
            <wp:extent cx="6000000" cy="4800000"/>
            <wp:docPr id="5" name="Picture 5"/>
            <wp:cNvGraphicFramePr>
              <a:graphicFrameLocks noChangeAspect="1"/>
            </wp:cNvGraphicFramePr>
            <a:graphic>
              <a:graphicData uri="http://schemas.openxmlformats.org/drawingml/2006/picture">
                <pic:pic>
                  <pic:nvPicPr>
                    <pic:cNvPr id="0" name="correlation_heatmap.png"/>
                    <pic:cNvPicPr/>
                  </pic:nvPicPr>
                  <pic:blipFill>
                    <a:blip r:embed="rId13"/>
                    <a:stretch>
                      <a:fillRect/>
                    </a:stretch>
                  </pic:blipFill>
                  <pic:spPr>
                    <a:xfrm>
                      <a:off x="0" y="0"/>
                      <a:ext cx="6000000" cy="480000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