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DA64C6">
        <w:rPr>
          <w:rFonts w:ascii="Verdana" w:hAnsi="Verdana"/>
          <w:b/>
          <w:bCs/>
          <w:color w:val="000000"/>
        </w:rPr>
        <w:t xml:space="preserve">InI </w:t>
      </w:r>
      <w:r w:rsidR="00DA64C6" w:rsidRPr="00DA64C6">
        <w:rPr>
          <w:rFonts w:ascii="Verdana" w:hAnsi="Verdana"/>
          <w:b/>
          <w:bCs/>
          <w:color w:val="000000"/>
        </w:rPr>
        <w:t>Configuration</w:t>
      </w:r>
      <w:r w:rsidR="00DA64C6">
        <w:rPr>
          <w:rFonts w:ascii="Verdana" w:hAnsi="Verdana"/>
          <w:b/>
          <w:bCs/>
          <w:color w:val="000000"/>
        </w:rPr>
        <w:t xml:space="preserve"> </w:t>
      </w:r>
      <w:r w:rsidR="00DA64C6" w:rsidRPr="00DA64C6">
        <w:rPr>
          <w:rFonts w:ascii="Verdana" w:hAnsi="Verdana"/>
          <w:b/>
          <w:bCs/>
          <w:color w:val="000000"/>
        </w:rPr>
        <w:t>Utility</w:t>
      </w:r>
      <w:r w:rsidR="00DA64C6">
        <w:rPr>
          <w:rFonts w:ascii="Verdana" w:hAnsi="Verdana"/>
          <w:b/>
          <w:bCs/>
          <w:color w:val="000000"/>
        </w:rPr>
        <w:t xml:space="preserve">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99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499"/>
        <w:gridCol w:w="1124"/>
        <w:gridCol w:w="2289"/>
        <w:gridCol w:w="1748"/>
        <w:gridCol w:w="1665"/>
        <w:gridCol w:w="1665"/>
      </w:tblGrid>
      <w:tr w:rsidR="00A03863" w:rsidRPr="000722EB" w:rsidTr="00A03863">
        <w:trPr>
          <w:trHeight w:val="265"/>
          <w:tblHeader/>
        </w:trPr>
        <w:tc>
          <w:tcPr>
            <w:tcW w:w="1499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1124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289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665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1665" w:type="dxa"/>
            <w:tcBorders>
              <w:bottom w:val="single" w:sz="12" w:space="0" w:color="000000"/>
            </w:tcBorders>
          </w:tcPr>
          <w:p w:rsidR="00A03863" w:rsidRPr="000722EB" w:rsidRDefault="00A03863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03863" w:rsidRPr="000722EB" w:rsidTr="00A03863">
        <w:trPr>
          <w:trHeight w:val="249"/>
        </w:trPr>
        <w:tc>
          <w:tcPr>
            <w:tcW w:w="1499" w:type="dxa"/>
            <w:tcBorders>
              <w:top w:val="nil"/>
            </w:tcBorders>
          </w:tcPr>
          <w:p w:rsidR="00A03863" w:rsidRPr="000722EB" w:rsidRDefault="00A03863" w:rsidP="0031584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10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89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748" w:type="dxa"/>
            <w:tcBorders>
              <w:top w:val="nil"/>
            </w:tcBorders>
          </w:tcPr>
          <w:p w:rsidR="00A03863" w:rsidRPr="000722EB" w:rsidRDefault="00A03863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Udita Dube</w:t>
            </w:r>
          </w:p>
        </w:tc>
        <w:tc>
          <w:tcPr>
            <w:tcW w:w="1665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nil"/>
            </w:tcBorders>
          </w:tcPr>
          <w:p w:rsidR="00A03863" w:rsidRPr="000722EB" w:rsidRDefault="00A03863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Drafted</w:t>
            </w:r>
          </w:p>
        </w:tc>
      </w:tr>
      <w:tr w:rsidR="00A03863" w:rsidRPr="000722EB" w:rsidTr="00A03863">
        <w:trPr>
          <w:trHeight w:val="218"/>
        </w:trPr>
        <w:tc>
          <w:tcPr>
            <w:tcW w:w="1499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24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89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8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5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5" w:type="dxa"/>
          </w:tcPr>
          <w:p w:rsidR="00A03863" w:rsidRPr="000722EB" w:rsidRDefault="00A03863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Pr="00143CF3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143CF3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>InI</w:t>
      </w:r>
      <w:r w:rsidR="001F7B97" w:rsidRPr="00143CF3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143CF3" w:rsidRPr="00143CF3">
        <w:rPr>
          <w:rFonts w:ascii="Verdana" w:hAnsi="Verdana"/>
          <w:b/>
          <w:bCs/>
          <w:color w:val="000000"/>
          <w:u w:val="single"/>
        </w:rPr>
        <w:t>Configuration Utility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143CF3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143CF3">
        <w:rPr>
          <w:rFonts w:ascii="Verdana" w:hAnsi="Verdana"/>
          <w:sz w:val="20"/>
        </w:rPr>
        <w:t xml:space="preserve">1. </w:t>
      </w:r>
      <w:r w:rsidR="00143CF3" w:rsidRPr="00094048">
        <w:rPr>
          <w:rFonts w:ascii="Verdana" w:hAnsi="Verdana"/>
          <w:b/>
          <w:sz w:val="20"/>
        </w:rPr>
        <w:t>INTU_ONL_InI_ConfigurationUtility</w:t>
      </w:r>
      <w:r w:rsidR="00143CF3">
        <w:rPr>
          <w:rFonts w:ascii="Verdana" w:hAnsi="Verdana"/>
          <w:sz w:val="20"/>
        </w:rPr>
        <w:t xml:space="preserve">: </w:t>
      </w:r>
      <w:r w:rsidR="00143CF3" w:rsidRPr="00143CF3">
        <w:rPr>
          <w:rFonts w:ascii="Verdana" w:hAnsi="Verdana"/>
          <w:sz w:val="20"/>
        </w:rPr>
        <w:t>This Utility update Intu_ONL initialization (.ini) file as per the data provided through .x</w:t>
      </w:r>
      <w:r w:rsidR="007637CA">
        <w:rPr>
          <w:rFonts w:ascii="Verdana" w:hAnsi="Verdana"/>
          <w:sz w:val="20"/>
        </w:rPr>
        <w:t xml:space="preserve">ls file under windows directory. </w:t>
      </w:r>
    </w:p>
    <w:p w:rsidR="00ED58F2" w:rsidRDefault="00ED58F2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119"/>
        <w:gridCol w:w="6176"/>
      </w:tblGrid>
      <w:tr w:rsidR="00E242B8" w:rsidRPr="00E0000B" w:rsidTr="009523BD">
        <w:trPr>
          <w:trHeight w:val="711"/>
        </w:trPr>
        <w:tc>
          <w:tcPr>
            <w:tcW w:w="817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119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17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9523BD">
        <w:trPr>
          <w:trHeight w:val="489"/>
        </w:trPr>
        <w:tc>
          <w:tcPr>
            <w:tcW w:w="817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7637CA" w:rsidRDefault="009523BD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IntuONLInIConfiguration</w:t>
            </w:r>
          </w:p>
          <w:p w:rsidR="001F7B97" w:rsidRPr="00E0000B" w:rsidRDefault="009523BD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6176" w:type="dxa"/>
          </w:tcPr>
          <w:p w:rsidR="001F7B97" w:rsidRDefault="009523BD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If ini file does not exist at </w:t>
            </w:r>
            <w:r w:rsidRPr="009523BD">
              <w:rPr>
                <w:rFonts w:ascii="Verdana" w:hAnsi="Verdana" w:cs="Tahoma"/>
                <w:color w:val="0000FF"/>
                <w:sz w:val="20"/>
                <w:szCs w:val="20"/>
                <w:u w:val="single"/>
              </w:rPr>
              <w:t>C:\Windows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then copy it from </w:t>
            </w:r>
            <w:r w:rsidRPr="009523BD">
              <w:rPr>
                <w:rFonts w:ascii="Verdana" w:hAnsi="Verdana" w:cs="Tahoma"/>
                <w:color w:val="0000FF"/>
                <w:sz w:val="20"/>
                <w:szCs w:val="20"/>
                <w:u w:val="single"/>
              </w:rPr>
              <w:t>\..\Quicken\ApplicationSpecific\Data\TestData\InI_File</w:t>
            </w:r>
          </w:p>
          <w:p w:rsidR="0099537F" w:rsidRDefault="007637CA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new block in file e.g.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Net Access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(provide data from xls sheet)</w:t>
            </w:r>
          </w:p>
          <w:p w:rsidR="007637CA" w:rsidRDefault="007637CA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Key and value in any existing block e.g. </w:t>
            </w:r>
          </w:p>
          <w:p w:rsidR="007637CA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Block: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Testing</w:t>
            </w:r>
          </w:p>
          <w:p w:rsidR="007637CA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Key:</w:t>
            </w:r>
            <w:r>
              <w:t xml:space="preserve">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LogSendFile</w:t>
            </w:r>
          </w:p>
          <w:p w:rsidR="007637CA" w:rsidRPr="00E0000B" w:rsidRDefault="007637CA" w:rsidP="007637CA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Value:</w:t>
            </w:r>
            <w:r>
              <w:t xml:space="preserve"> </w:t>
            </w:r>
            <w:r w:rsidRPr="007637CA">
              <w:rPr>
                <w:rFonts w:ascii="Verdana" w:hAnsi="Verdana" w:cs="Tahoma"/>
                <w:color w:val="000000"/>
                <w:sz w:val="20"/>
                <w:szCs w:val="20"/>
              </w:rPr>
              <w:t>Y</w:t>
            </w:r>
          </w:p>
        </w:tc>
      </w:tr>
    </w:tbl>
    <w:p w:rsidR="007A3768" w:rsidRDefault="007A3768" w:rsidP="001F7B97">
      <w:pPr>
        <w:tabs>
          <w:tab w:val="left" w:pos="2220"/>
        </w:tabs>
      </w:pPr>
    </w:p>
    <w:p w:rsidR="00094048" w:rsidRDefault="00094048" w:rsidP="00094048">
      <w:pPr>
        <w:rPr>
          <w:rFonts w:ascii="Verdana" w:hAnsi="Verdana"/>
          <w:b/>
          <w:sz w:val="20"/>
        </w:rPr>
      </w:pPr>
    </w:p>
    <w:p w:rsidR="00094048" w:rsidRDefault="00094048" w:rsidP="00094048">
      <w:pPr>
        <w:rPr>
          <w:rFonts w:ascii="Verdana" w:hAnsi="Verdana"/>
          <w:b/>
          <w:sz w:val="20"/>
        </w:rPr>
      </w:pPr>
    </w:p>
    <w:p w:rsidR="00C55764" w:rsidRDefault="00094048" w:rsidP="00C55764">
      <w:pPr>
        <w:numPr>
          <w:ilvl w:val="0"/>
          <w:numId w:val="1"/>
        </w:numPr>
        <w:rPr>
          <w:rFonts w:ascii="Verdana" w:hAnsi="Verdana" w:cs="Tahoma"/>
          <w:color w:val="000000"/>
          <w:sz w:val="20"/>
          <w:szCs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Pr="0051751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2. </w:t>
      </w:r>
      <w:r w:rsidRPr="00094048">
        <w:rPr>
          <w:rFonts w:ascii="Verdana" w:hAnsi="Verdana"/>
          <w:b/>
          <w:sz w:val="20"/>
        </w:rPr>
        <w:t>QuickenInI_ConfigurationUtility</w:t>
      </w:r>
      <w:r>
        <w:rPr>
          <w:rFonts w:ascii="Verdana" w:hAnsi="Verdana"/>
          <w:sz w:val="20"/>
        </w:rPr>
        <w:t xml:space="preserve">: </w:t>
      </w:r>
      <w:r w:rsidRPr="00094048">
        <w:rPr>
          <w:rFonts w:ascii="Verdana" w:hAnsi="Verdana"/>
          <w:sz w:val="20"/>
        </w:rPr>
        <w:t>This Utilit</w:t>
      </w:r>
      <w:r>
        <w:rPr>
          <w:rFonts w:ascii="Verdana" w:hAnsi="Verdana"/>
          <w:sz w:val="20"/>
        </w:rPr>
        <w:t>y update Quicken initialization</w:t>
      </w:r>
      <w:r w:rsidRPr="00094048">
        <w:rPr>
          <w:rFonts w:ascii="Verdana" w:hAnsi="Verdana"/>
          <w:sz w:val="20"/>
        </w:rPr>
        <w:t>(.ini) file as per the data provided through .xls file</w:t>
      </w:r>
      <w:r w:rsidR="00C55764">
        <w:rPr>
          <w:rFonts w:ascii="Verdana" w:hAnsi="Verdana"/>
          <w:sz w:val="20"/>
        </w:rPr>
        <w:t xml:space="preserve"> (</w:t>
      </w:r>
      <w:r w:rsidR="00C55764">
        <w:rPr>
          <w:rFonts w:ascii="Verdana" w:hAnsi="Verdana" w:cs="Tahoma"/>
          <w:color w:val="000000"/>
          <w:sz w:val="20"/>
          <w:szCs w:val="20"/>
        </w:rPr>
        <w:t xml:space="preserve">Location of file is </w:t>
      </w:r>
      <w:r w:rsidR="00C55764" w:rsidRPr="001E2C80">
        <w:rPr>
          <w:rFonts w:ascii="Verdana" w:hAnsi="Verdana" w:cs="Tahoma"/>
          <w:color w:val="0000FF"/>
          <w:sz w:val="20"/>
          <w:szCs w:val="20"/>
          <w:u w:val="single"/>
        </w:rPr>
        <w:t>C:\ProgramData\Intuit\Quicken\Config</w:t>
      </w:r>
      <w:r w:rsidR="00C55764">
        <w:rPr>
          <w:rFonts w:ascii="Verdana" w:hAnsi="Verdana" w:cs="Tahoma"/>
          <w:color w:val="000000"/>
          <w:sz w:val="20"/>
          <w:szCs w:val="20"/>
        </w:rPr>
        <w:t>\ for Win7)</w:t>
      </w:r>
    </w:p>
    <w:p w:rsidR="00094048" w:rsidRPr="00C55764" w:rsidRDefault="00094048" w:rsidP="00094048">
      <w:pPr>
        <w:rPr>
          <w:rFonts w:ascii="Verdana" w:hAnsi="Verdana"/>
          <w:b/>
          <w:sz w:val="20"/>
        </w:rPr>
      </w:pPr>
    </w:p>
    <w:p w:rsidR="00094048" w:rsidRDefault="00094048" w:rsidP="001F7B97">
      <w:pPr>
        <w:tabs>
          <w:tab w:val="left" w:pos="2220"/>
        </w:tabs>
      </w:pPr>
      <w:r>
        <w:t xml:space="preserve"> </w:t>
      </w: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119"/>
        <w:gridCol w:w="6176"/>
      </w:tblGrid>
      <w:tr w:rsidR="00094048" w:rsidRPr="00E0000B" w:rsidTr="005F1216">
        <w:trPr>
          <w:trHeight w:val="711"/>
        </w:trPr>
        <w:tc>
          <w:tcPr>
            <w:tcW w:w="817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119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176" w:type="dxa"/>
          </w:tcPr>
          <w:p w:rsidR="00094048" w:rsidRPr="00E0000B" w:rsidRDefault="00094048" w:rsidP="005F1216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094048" w:rsidRPr="00E0000B" w:rsidTr="005F1216">
        <w:trPr>
          <w:trHeight w:val="489"/>
        </w:trPr>
        <w:tc>
          <w:tcPr>
            <w:tcW w:w="817" w:type="dxa"/>
          </w:tcPr>
          <w:p w:rsidR="00094048" w:rsidRPr="00E0000B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:rsidR="00094048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IntuONLInIConfiguration</w:t>
            </w:r>
          </w:p>
          <w:p w:rsidR="00094048" w:rsidRPr="00E0000B" w:rsidRDefault="00094048" w:rsidP="005F1216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9523BD">
              <w:rPr>
                <w:rFonts w:ascii="Verdana" w:hAnsi="Verdana" w:cs="Tahoma"/>
                <w:color w:val="000000"/>
                <w:sz w:val="20"/>
                <w:szCs w:val="20"/>
              </w:rPr>
              <w:t>Utility</w:t>
            </w:r>
          </w:p>
        </w:tc>
        <w:tc>
          <w:tcPr>
            <w:tcW w:w="6176" w:type="dxa"/>
          </w:tcPr>
          <w:p w:rsidR="00094048" w:rsidRDefault="00094048" w:rsidP="005F1216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new block in file e.g. </w:t>
            </w:r>
            <w:r w:rsidR="003618A1" w:rsidRPr="003618A1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GLB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(provide data from xls sheet)</w:t>
            </w:r>
          </w:p>
          <w:p w:rsidR="00094048" w:rsidRDefault="00094048" w:rsidP="005F1216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Key and value in any existing block e.g. </w:t>
            </w:r>
          </w:p>
          <w:p w:rsidR="00094048" w:rsidRDefault="00094048" w:rsidP="005F1216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Block: </w:t>
            </w:r>
            <w:r w:rsidR="00C55764" w:rsidRPr="00C55764">
              <w:rPr>
                <w:rFonts w:ascii="Verdana" w:hAnsi="Verdana" w:cs="Tahoma"/>
                <w:color w:val="000000"/>
                <w:sz w:val="20"/>
                <w:szCs w:val="20"/>
              </w:rPr>
              <w:t>Quicken</w:t>
            </w:r>
          </w:p>
          <w:p w:rsidR="00094048" w:rsidRDefault="00094048" w:rsidP="00094048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Key:</w:t>
            </w:r>
            <w:r>
              <w:t xml:space="preserve"> </w:t>
            </w:r>
            <w:r w:rsidR="00C55764" w:rsidRPr="00C55764">
              <w:rPr>
                <w:rFonts w:ascii="Verdana" w:hAnsi="Verdana" w:cs="Tahoma"/>
                <w:color w:val="000000"/>
                <w:sz w:val="20"/>
                <w:szCs w:val="20"/>
              </w:rPr>
              <w:t>Platform</w:t>
            </w:r>
          </w:p>
          <w:p w:rsidR="00C55764" w:rsidRPr="00E0000B" w:rsidRDefault="00C55764" w:rsidP="00094048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Value:</w:t>
            </w:r>
            <w:r>
              <w:t xml:space="preserve"> </w:t>
            </w:r>
            <w:r w:rsidRPr="00C55764">
              <w:rPr>
                <w:rFonts w:ascii="Verdana" w:hAnsi="Verdana" w:cs="Tahoma"/>
                <w:color w:val="000000"/>
                <w:sz w:val="20"/>
                <w:szCs w:val="20"/>
              </w:rPr>
              <w:t>Win32</w:t>
            </w:r>
          </w:p>
        </w:tc>
      </w:tr>
    </w:tbl>
    <w:p w:rsidR="00094048" w:rsidRDefault="00094048" w:rsidP="001F7B97">
      <w:pPr>
        <w:tabs>
          <w:tab w:val="left" w:pos="2220"/>
        </w:tabs>
      </w:pPr>
    </w:p>
    <w:sectPr w:rsidR="0009404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23"/>
  </w:num>
  <w:num w:numId="4">
    <w:abstractNumId w:val="28"/>
  </w:num>
  <w:num w:numId="5">
    <w:abstractNumId w:val="26"/>
  </w:num>
  <w:num w:numId="6">
    <w:abstractNumId w:val="11"/>
  </w:num>
  <w:num w:numId="7">
    <w:abstractNumId w:val="13"/>
  </w:num>
  <w:num w:numId="8">
    <w:abstractNumId w:val="18"/>
  </w:num>
  <w:num w:numId="9">
    <w:abstractNumId w:val="29"/>
  </w:num>
  <w:num w:numId="10">
    <w:abstractNumId w:val="0"/>
  </w:num>
  <w:num w:numId="11">
    <w:abstractNumId w:val="30"/>
  </w:num>
  <w:num w:numId="12">
    <w:abstractNumId w:val="21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6"/>
  </w:num>
  <w:num w:numId="18">
    <w:abstractNumId w:val="15"/>
  </w:num>
  <w:num w:numId="19">
    <w:abstractNumId w:val="22"/>
  </w:num>
  <w:num w:numId="20">
    <w:abstractNumId w:val="34"/>
  </w:num>
  <w:num w:numId="21">
    <w:abstractNumId w:val="32"/>
  </w:num>
  <w:num w:numId="22">
    <w:abstractNumId w:val="7"/>
  </w:num>
  <w:num w:numId="23">
    <w:abstractNumId w:val="27"/>
  </w:num>
  <w:num w:numId="24">
    <w:abstractNumId w:val="10"/>
  </w:num>
  <w:num w:numId="25">
    <w:abstractNumId w:val="2"/>
  </w:num>
  <w:num w:numId="26">
    <w:abstractNumId w:val="24"/>
  </w:num>
  <w:num w:numId="27">
    <w:abstractNumId w:val="35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1"/>
  </w:num>
  <w:num w:numId="34">
    <w:abstractNumId w:val="9"/>
  </w:num>
  <w:num w:numId="35">
    <w:abstractNumId w:val="6"/>
  </w:num>
  <w:num w:numId="36">
    <w:abstractNumId w:val="2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94048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3CF3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2C80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18A1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4507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D364B"/>
    <w:rsid w:val="006E0381"/>
    <w:rsid w:val="006E6D91"/>
    <w:rsid w:val="00701020"/>
    <w:rsid w:val="00701BFA"/>
    <w:rsid w:val="0070631E"/>
    <w:rsid w:val="00707ACC"/>
    <w:rsid w:val="0071115E"/>
    <w:rsid w:val="00720029"/>
    <w:rsid w:val="0072115A"/>
    <w:rsid w:val="0072444D"/>
    <w:rsid w:val="00725802"/>
    <w:rsid w:val="00731019"/>
    <w:rsid w:val="007453F3"/>
    <w:rsid w:val="007462BA"/>
    <w:rsid w:val="007521BE"/>
    <w:rsid w:val="00754CF3"/>
    <w:rsid w:val="007637CA"/>
    <w:rsid w:val="00763DE4"/>
    <w:rsid w:val="00780738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C4D4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23BD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01F66"/>
    <w:rsid w:val="00A03863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55764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A64C6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8</cp:revision>
  <cp:lastPrinted>2010-11-10T04:18:00Z</cp:lastPrinted>
  <dcterms:created xsi:type="dcterms:W3CDTF">2012-07-10T10:43:00Z</dcterms:created>
  <dcterms:modified xsi:type="dcterms:W3CDTF">2012-07-11T11:17:00Z</dcterms:modified>
</cp:coreProperties>
</file>