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14B" w:rsidRDefault="0044614B" w:rsidP="0044614B">
      <w:pPr>
        <w:tabs>
          <w:tab w:val="left" w:pos="2475"/>
        </w:tabs>
        <w:spacing w:before="31"/>
        <w:rPr>
          <w:rFonts w:ascii="Arial" w:hAnsi="Arial" w:cs="Arial"/>
          <w:b/>
        </w:rPr>
      </w:pPr>
      <w:r w:rsidRPr="00CD4F1E">
        <w:rPr>
          <w:rFonts w:ascii="Arial" w:hAnsi="Arial" w:cs="Arial"/>
          <w:b/>
        </w:rPr>
        <w:t>Curriculum</w:t>
      </w:r>
      <w:r w:rsidRPr="00CD4F1E">
        <w:rPr>
          <w:rFonts w:ascii="Arial" w:hAnsi="Arial" w:cs="Arial"/>
          <w:b/>
          <w:spacing w:val="-18"/>
        </w:rPr>
        <w:t xml:space="preserve"> </w:t>
      </w:r>
      <w:r>
        <w:rPr>
          <w:rFonts w:ascii="Arial" w:hAnsi="Arial" w:cs="Arial"/>
          <w:b/>
        </w:rPr>
        <w:t xml:space="preserve">Vitae:    </w:t>
      </w:r>
      <w:r w:rsidRPr="00CD4F1E">
        <w:rPr>
          <w:rFonts w:ascii="Arial" w:hAnsi="Arial" w:cs="Arial"/>
          <w:b/>
        </w:rPr>
        <w:t xml:space="preserve">Kalyan </w:t>
      </w:r>
      <w:r w:rsidRPr="00CD4F1E">
        <w:rPr>
          <w:rFonts w:ascii="Arial" w:hAnsi="Arial" w:cs="Arial"/>
          <w:b/>
          <w:spacing w:val="-3"/>
        </w:rPr>
        <w:t>Shankar</w:t>
      </w:r>
      <w:r w:rsidRPr="00CD4F1E">
        <w:rPr>
          <w:rFonts w:ascii="Arial" w:hAnsi="Arial" w:cs="Arial"/>
          <w:b/>
          <w:spacing w:val="-13"/>
        </w:rPr>
        <w:t xml:space="preserve"> </w:t>
      </w:r>
      <w:r w:rsidRPr="00CD4F1E">
        <w:rPr>
          <w:rFonts w:ascii="Arial" w:hAnsi="Arial" w:cs="Arial"/>
          <w:b/>
        </w:rPr>
        <w:t>Bhattacharjee</w:t>
      </w:r>
    </w:p>
    <w:p w:rsidR="006965DF" w:rsidRPr="00CD4F1E" w:rsidRDefault="006965DF" w:rsidP="0044614B">
      <w:pPr>
        <w:tabs>
          <w:tab w:val="left" w:pos="2475"/>
        </w:tabs>
        <w:spacing w:before="31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n-AU" w:eastAsia="ja-JP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0D8C715" wp14:editId="375A2CF2">
                <wp:simplePos x="0" y="0"/>
                <wp:positionH relativeFrom="page">
                  <wp:posOffset>833755</wp:posOffset>
                </wp:positionH>
                <wp:positionV relativeFrom="paragraph">
                  <wp:posOffset>97155</wp:posOffset>
                </wp:positionV>
                <wp:extent cx="5873750" cy="0"/>
                <wp:effectExtent l="0" t="0" r="1270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5.65pt,7.65pt" to="528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" strokeweight=".35136mm">
                <w10:wrap type="topAndBottom" anchorx="page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3711"/>
        <w:gridCol w:w="4180"/>
      </w:tblGrid>
      <w:tr w:rsidR="0044614B" w:rsidRPr="006965DF" w:rsidTr="006965DF">
        <w:tc>
          <w:tcPr>
            <w:tcW w:w="0" w:type="auto"/>
          </w:tcPr>
          <w:p w:rsidR="0044614B" w:rsidRPr="006965DF" w:rsidRDefault="0044614B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Contact Information</w:t>
            </w:r>
          </w:p>
        </w:tc>
        <w:tc>
          <w:tcPr>
            <w:tcW w:w="0" w:type="auto"/>
          </w:tcPr>
          <w:p w:rsidR="0044614B" w:rsidRPr="006965DF" w:rsidRDefault="0044614B" w:rsidP="0044614B">
            <w:pPr>
              <w:widowControl/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Industrial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Research Intern, Canon Informa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tion Research Systems Australia (CiSRA),</w:t>
            </w:r>
          </w:p>
          <w:p w:rsidR="0044614B" w:rsidRPr="006965DF" w:rsidRDefault="0044614B" w:rsidP="0044614B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Sydney, NSW.</w:t>
            </w:r>
          </w:p>
        </w:tc>
        <w:tc>
          <w:tcPr>
            <w:tcW w:w="0" w:type="auto"/>
          </w:tcPr>
          <w:p w:rsidR="0044614B" w:rsidRPr="006965DF" w:rsidRDefault="0044614B" w:rsidP="0044614B">
            <w:pPr>
              <w:widowControl/>
              <w:adjustRightInd w:val="0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Tel: +61-420201787</w:t>
            </w:r>
          </w:p>
          <w:p w:rsidR="0044614B" w:rsidRPr="006965DF" w:rsidRDefault="006965DF" w:rsidP="0044614B">
            <w:pPr>
              <w:widowControl/>
              <w:adjustRightInd w:val="0"/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E-mail: </w:t>
            </w:r>
            <w:r w:rsidR="0044614B"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k.bhattacharjee@student.adfa.edu.au</w:t>
            </w:r>
          </w:p>
          <w:p w:rsidR="0044614B" w:rsidRPr="006965DF" w:rsidRDefault="0044614B" w:rsidP="0044614B">
            <w:pPr>
              <w:widowControl/>
              <w:autoSpaceDE/>
              <w:autoSpaceDN/>
              <w:spacing w:after="200" w:line="276" w:lineRule="auto"/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Profi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les: </w:t>
            </w:r>
            <w:hyperlink r:id="rId6" w:history="1">
              <w:r w:rsidRPr="006965DF">
                <w:rPr>
                  <w:rStyle w:val="Hyperlink"/>
                  <w:rFonts w:asciiTheme="minorHAnsi" w:eastAsiaTheme="minorEastAsia" w:hAnsiTheme="minorHAnsi" w:cs="Arial"/>
                  <w:sz w:val="18"/>
                  <w:szCs w:val="20"/>
                  <w:lang w:val="en-AU" w:eastAsia="ja-JP"/>
                </w:rPr>
                <w:t>GitHub</w:t>
              </w:r>
            </w:hyperlink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, </w:t>
            </w:r>
            <w:hyperlink r:id="rId7" w:history="1">
              <w:r w:rsidRPr="006965DF">
                <w:rPr>
                  <w:rStyle w:val="Hyperlink"/>
                  <w:rFonts w:asciiTheme="minorHAnsi" w:eastAsiaTheme="minorEastAsia" w:hAnsiTheme="minorHAnsi" w:cs="Arial"/>
                  <w:sz w:val="18"/>
                  <w:szCs w:val="20"/>
                  <w:lang w:val="en-AU" w:eastAsia="ja-JP"/>
                </w:rPr>
                <w:t>LinkedIn</w:t>
              </w:r>
            </w:hyperlink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, </w:t>
            </w:r>
            <w:hyperlink r:id="rId8" w:history="1">
              <w:r w:rsidRPr="006965DF">
                <w:rPr>
                  <w:rStyle w:val="Hyperlink"/>
                  <w:rFonts w:asciiTheme="minorHAnsi" w:eastAsiaTheme="minorEastAsia" w:hAnsiTheme="minorHAnsi" w:cs="Arial"/>
                  <w:sz w:val="18"/>
                  <w:szCs w:val="20"/>
                  <w:lang w:val="en-AU" w:eastAsia="ja-JP"/>
                </w:rPr>
                <w:t>Google Scholar</w:t>
              </w:r>
            </w:hyperlink>
          </w:p>
          <w:p w:rsidR="0044614B" w:rsidRPr="006965DF" w:rsidRDefault="0044614B">
            <w:pPr>
              <w:widowControl/>
              <w:autoSpaceDE/>
              <w:autoSpaceDN/>
              <w:spacing w:after="200" w:line="276" w:lineRule="auto"/>
              <w:rPr>
                <w:rFonts w:asciiTheme="minorHAnsi" w:hAnsiTheme="minorHAnsi" w:cs="Arial"/>
                <w:sz w:val="18"/>
                <w:szCs w:val="20"/>
              </w:rPr>
            </w:pPr>
          </w:p>
          <w:p w:rsidR="0044614B" w:rsidRPr="006965DF" w:rsidRDefault="0044614B" w:rsidP="0044614B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44614B" w:rsidRPr="006965DF" w:rsidTr="006965DF">
        <w:tc>
          <w:tcPr>
            <w:tcW w:w="0" w:type="auto"/>
          </w:tcPr>
          <w:p w:rsidR="0044614B" w:rsidRPr="006965DF" w:rsidRDefault="0044614B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Career Summary</w:t>
            </w:r>
          </w:p>
        </w:tc>
        <w:tc>
          <w:tcPr>
            <w:tcW w:w="0" w:type="auto"/>
            <w:gridSpan w:val="2"/>
          </w:tcPr>
          <w:p w:rsidR="0044614B" w:rsidRPr="006965DF" w:rsidRDefault="0044614B" w:rsidP="0044614B">
            <w:pPr>
              <w:widowControl/>
              <w:adjustRightInd w:val="0"/>
              <w:jc w:val="both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I 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m currently on a program leave from being a postgraduate researcher with the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School of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Engineering and Information Technology, University of New South Wales (UNSW), Canberra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to pursue an industrial research internship for six months wit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h the Canon Information Systems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Research Australia (CiSRA) in collaboration with Australian Mathematical Sc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iences Institute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(AMSI) on Image and Video Understanding using Machine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Learning. Since September 2014,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I am a part of the Multidisciplinary Design Optimization Group (WWW: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MDO Webpage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) at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UNSW Canberra. I obtained my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B.Tech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(Hons.) in 2012,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M.Tech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in 2013 from Indian Institute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of Technology (IIT), Kharagpur, India in Ocean Engineering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and Naval Architecture. Between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2013 and 2014, I worked with an e-learning start-up in India (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 xml:space="preserve">Unbound Learning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Networx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) for 4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months. As a research associate in IIT Khar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gpur, I worked on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a project in collaboration with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Naval Science &amp; Technological Laboratory (NSTL), Visakhap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atnam for 8 months. I currently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hold a </w:t>
            </w: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permanent residency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status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in Australia.</w:t>
            </w:r>
          </w:p>
        </w:tc>
      </w:tr>
      <w:tr w:rsidR="0044614B" w:rsidRPr="006965DF" w:rsidTr="006965DF">
        <w:tc>
          <w:tcPr>
            <w:tcW w:w="0" w:type="auto"/>
          </w:tcPr>
          <w:p w:rsidR="0044614B" w:rsidRPr="006965DF" w:rsidRDefault="0044614B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Career Interests</w:t>
            </w:r>
          </w:p>
        </w:tc>
        <w:tc>
          <w:tcPr>
            <w:tcW w:w="0" w:type="auto"/>
            <w:gridSpan w:val="2"/>
          </w:tcPr>
          <w:p w:rsidR="0044614B" w:rsidRPr="006965DF" w:rsidRDefault="0044614B" w:rsidP="0044614B">
            <w:pPr>
              <w:widowControl/>
              <w:adjustRightInd w:val="0"/>
              <w:jc w:val="both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My primary focus lies in the area of theoretical and applied machine learning and m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ultidisciplinary optimization, with a deeper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understanding of computationally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expensive optimization and artificial 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ntelligence. I am in continuously develo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pment of novel, practical and efficient algorithms for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the solution of computationally expensiv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e optimization problems in the field of machine learning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and big data. Such problems are commonl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y encountered in virtually all fields of science and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engineering, such as in multidisciplinary product design, video under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standing, object detection,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biochemical pathway mode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l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ling, therapy planning, optimal management of natural resources etc.</w:t>
            </w:r>
          </w:p>
        </w:tc>
        <w:bookmarkStart w:id="0" w:name="_GoBack"/>
        <w:bookmarkEnd w:id="0"/>
      </w:tr>
      <w:tr w:rsidR="0044614B" w:rsidRPr="006965DF" w:rsidTr="006965DF">
        <w:tc>
          <w:tcPr>
            <w:tcW w:w="0" w:type="auto"/>
          </w:tcPr>
          <w:p w:rsidR="0044614B" w:rsidRPr="006965DF" w:rsidRDefault="0044614B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Education</w:t>
            </w:r>
          </w:p>
        </w:tc>
        <w:tc>
          <w:tcPr>
            <w:tcW w:w="0" w:type="auto"/>
            <w:gridSpan w:val="2"/>
          </w:tcPr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jc w:val="both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Ph.D.,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University of New South Wales (UNSW), Canberra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Ongoing (Expected to fi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nish by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="006965DF"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February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2018).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jc w:val="both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M.Tech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.,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Indian Institute of Technology, Kharagpur, India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August 2013, CGPA: 8.91/10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1"/>
              </w:numPr>
              <w:adjustRightInd w:val="0"/>
              <w:jc w:val="both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B.Tech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.(Hons.),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Indian Institute of Technology, Kharagpur, India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August 2012, CGPA: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8.96/10</w:t>
            </w:r>
          </w:p>
        </w:tc>
      </w:tr>
      <w:tr w:rsidR="0044614B" w:rsidRPr="006965DF" w:rsidTr="006965DF">
        <w:tc>
          <w:tcPr>
            <w:tcW w:w="0" w:type="auto"/>
          </w:tcPr>
          <w:p w:rsidR="0044614B" w:rsidRPr="006965DF" w:rsidRDefault="0044614B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Experience</w:t>
            </w:r>
          </w:p>
        </w:tc>
        <w:tc>
          <w:tcPr>
            <w:tcW w:w="0" w:type="auto"/>
            <w:gridSpan w:val="2"/>
          </w:tcPr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Industrial Research Intern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Development of deep lea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rning for image and video under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standing at </w:t>
            </w:r>
            <w:r w:rsidRPr="006965DF">
              <w:rPr>
                <w:rFonts w:asciiTheme="minorHAnsi" w:eastAsiaTheme="minorEastAsia" w:hAnsiTheme="minorHAnsi" w:cs="Arial"/>
                <w:b/>
                <w:color w:val="00004D"/>
                <w:sz w:val="18"/>
                <w:szCs w:val="20"/>
                <w:lang w:val="en-AU" w:eastAsia="ja-JP"/>
              </w:rPr>
              <w:t>Canon Information Systems Research Australia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b/>
                <w:color w:val="00004D"/>
                <w:sz w:val="18"/>
                <w:szCs w:val="20"/>
                <w:lang w:val="en-AU" w:eastAsia="ja-JP"/>
              </w:rPr>
              <w:t>(CiSRA)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Sydney in col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laboration with the </w:t>
            </w:r>
            <w:r w:rsidRPr="006965DF">
              <w:rPr>
                <w:rFonts w:asciiTheme="minorHAnsi" w:eastAsiaTheme="minorEastAsia" w:hAnsiTheme="minorHAnsi" w:cs="Arial"/>
                <w:b/>
                <w:color w:val="00004D"/>
                <w:sz w:val="18"/>
                <w:szCs w:val="20"/>
                <w:lang w:val="en-AU" w:eastAsia="ja-JP"/>
              </w:rPr>
              <w:t>Australian Mathematical Sciences Institute (AMSI)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. September,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2017 to March, 2018.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Understanding and Skills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Image &amp; video understanding, Convolutional neural network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(CNN), Recurrent neural network (RNN): Long short term memory (LSTM), Deep learning,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Python, TensorFlow, Keras, Sonnet,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Theano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CUDA, GPU.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Tutor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Engineering Practice and Design: CATIA (ZEIT 1501), First Year Undergraduate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Course in S2-2016.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University of New South Wales, Canberra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July, 2016 to November,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2016.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</w:p>
          <w:p w:rsidR="0044614B" w:rsidRPr="006965DF" w:rsidRDefault="0044614B" w:rsidP="00D95825">
            <w:pPr>
              <w:pStyle w:val="ListParagraph"/>
              <w:widowControl/>
              <w:adjustRightInd w:val="0"/>
              <w:ind w:left="373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Understanding and Skills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CATIA, Health and safety, Product design.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Research Assistant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Development of optimization techniques to tackle computationally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expensive problems at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University of New South Wales, Canberra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, </w:t>
            </w:r>
            <w:proofErr w:type="gram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July</w:t>
            </w:r>
            <w:proofErr w:type="gram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2015 to March,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2017. Algorithms developed during this phase are being used in several professional and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academic </w:t>
            </w:r>
            <w:proofErr w:type="gram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organisation</w:t>
            </w:r>
            <w:proofErr w:type="gram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on a regular basis.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</w:p>
          <w:p w:rsidR="0044614B" w:rsidRPr="006965DF" w:rsidRDefault="0044614B" w:rsidP="0044614B">
            <w:pPr>
              <w:pStyle w:val="ListParagraph"/>
              <w:widowControl/>
              <w:adjustRightInd w:val="0"/>
              <w:ind w:left="373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Understanding and Skills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Heuristics and meta-</w:t>
            </w:r>
            <w:proofErr w:type="gram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heuristics,</w:t>
            </w:r>
            <w:proofErr w:type="gram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Surrogate assisted optimization,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Multifi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delity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optimization, Multi-and many-objective optimization, SVM, Decision Making,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Classifi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cation, Clustering, Constraint han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dling, MATLAB, C++, Microsoft Offi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ce,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LaTeX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Research Assistant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Hydrodynamic Design &amp; Development of Trimaran &amp; Delta Hull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Forms (Project Code: TDHF),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Naval Science &amp; Technological Laboratory (NSTL)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Visakhapatnam, India, Dec, 2013 to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Aug, 2014.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Understanding and Skills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: Ship design, Hydrodynamics,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ShipFlow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MAXSURF, NAPA,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AutoCAD.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Visiting Researcher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Development of continuum damage model for high impact load using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Element Free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Galerkin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Method, funded by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Centre for Advanced Composite Materials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 xml:space="preserve">(CACM)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at the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University of Auckland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. May, 2012 to Jul, 2012.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</w:p>
          <w:p w:rsidR="0044614B" w:rsidRPr="006965DF" w:rsidRDefault="0044614B" w:rsidP="0044614B">
            <w:pPr>
              <w:pStyle w:val="ListParagraph"/>
              <w:widowControl/>
              <w:adjustRightInd w:val="0"/>
              <w:ind w:left="373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Understanding and Skills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Damage modelling, thermomechanical modelling, Composites,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MATLAB, Fortran.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Honorary Research Intern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: Development of transient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elasto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-plastic model for welding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using Element Free </w:t>
            </w:r>
            <w:proofErr w:type="spell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Galerkin</w:t>
            </w:r>
            <w:proofErr w:type="spell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Method, at the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University of Auckland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. May, 2011 to Jun,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2011.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</w:p>
          <w:p w:rsidR="0044614B" w:rsidRPr="006965DF" w:rsidRDefault="0044614B" w:rsidP="0044614B">
            <w:pPr>
              <w:pStyle w:val="ListParagraph"/>
              <w:widowControl/>
              <w:adjustRightInd w:val="0"/>
              <w:ind w:left="373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Understanding and Skills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Transient thermomechanical modelling, Finite Element Method,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ANSYS, MATLAB, Fortran.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Research Assistant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Maritime Safety Mode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l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ling using Fuzzy Logic,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Indian Institute of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 xml:space="preserve">Technology,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lastRenderedPageBreak/>
              <w:t>Kharagpur, India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, </w:t>
            </w:r>
            <w:proofErr w:type="gram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July</w:t>
            </w:r>
            <w:proofErr w:type="gram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2010 to Nov, 2010.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</w:p>
          <w:p w:rsidR="0044614B" w:rsidRPr="006965DF" w:rsidRDefault="0044614B" w:rsidP="0044614B">
            <w:pPr>
              <w:pStyle w:val="ListParagraph"/>
              <w:widowControl/>
              <w:adjustRightInd w:val="0"/>
              <w:ind w:left="373"/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Understanding and Skills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Fuzzy logic, MATLAB.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Research Assistant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Automated Oceanographic feature extraction from satellite remote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sensing data using Neural Network architecture,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 xml:space="preserve">Indian 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Institute of Technology, Kharag</w:t>
            </w:r>
            <w:r w:rsidRPr="006965DF">
              <w:rPr>
                <w:rFonts w:asciiTheme="minorHAnsi" w:eastAsiaTheme="minorEastAsia" w:hAnsiTheme="minorHAnsi" w:cs="Arial"/>
                <w:color w:val="00004D"/>
                <w:sz w:val="18"/>
                <w:szCs w:val="20"/>
                <w:lang w:val="en-AU" w:eastAsia="ja-JP"/>
              </w:rPr>
              <w:t>pur, India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 xml:space="preserve">, </w:t>
            </w:r>
            <w:proofErr w:type="gramStart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Dec</w:t>
            </w:r>
            <w:proofErr w:type="gramEnd"/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, 2010 to Feb, 2011.</w:t>
            </w:r>
          </w:p>
          <w:p w:rsidR="0044614B" w:rsidRPr="006965DF" w:rsidRDefault="0044614B" w:rsidP="0044614B">
            <w:pPr>
              <w:pStyle w:val="ListParagraph"/>
              <w:widowControl/>
              <w:adjustRightInd w:val="0"/>
              <w:ind w:left="373"/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color w:val="000000"/>
                <w:sz w:val="18"/>
                <w:szCs w:val="20"/>
                <w:lang w:val="en-AU" w:eastAsia="ja-JP"/>
              </w:rPr>
              <w:t>Understanding and Skills</w:t>
            </w:r>
            <w:r w:rsidRPr="006965DF">
              <w:rPr>
                <w:rFonts w:asciiTheme="minorHAnsi" w:eastAsiaTheme="minorEastAsia" w:hAnsiTheme="minorHAnsi" w:cs="Arial"/>
                <w:color w:val="000000"/>
                <w:sz w:val="18"/>
                <w:szCs w:val="20"/>
                <w:lang w:val="en-AU" w:eastAsia="ja-JP"/>
              </w:rPr>
              <w:t>: Neural networks, MATLAB.</w:t>
            </w:r>
          </w:p>
          <w:p w:rsidR="0044614B" w:rsidRPr="006965DF" w:rsidRDefault="0044614B" w:rsidP="0044614B">
            <w:pPr>
              <w:rPr>
                <w:rFonts w:asciiTheme="minorHAnsi" w:hAnsiTheme="minorHAnsi" w:cs="Arial"/>
                <w:sz w:val="18"/>
                <w:szCs w:val="20"/>
              </w:rPr>
            </w:pPr>
          </w:p>
        </w:tc>
      </w:tr>
      <w:tr w:rsidR="0044614B" w:rsidRPr="006965DF" w:rsidTr="006965DF">
        <w:tc>
          <w:tcPr>
            <w:tcW w:w="0" w:type="auto"/>
          </w:tcPr>
          <w:p w:rsidR="0044614B" w:rsidRPr="006965DF" w:rsidRDefault="0044614B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lastRenderedPageBreak/>
              <w:t>Certification</w:t>
            </w:r>
          </w:p>
        </w:tc>
        <w:tc>
          <w:tcPr>
            <w:tcW w:w="0" w:type="auto"/>
            <w:gridSpan w:val="2"/>
          </w:tcPr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Machine Learning by Andrew Ng in Coursera, Ongoing.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Certifi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cate of Merit in Graduate Teaching Training Programme (GTTP'16).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Certifi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cate of Merit in Lab Supervisor Training (LABSUP'16).</w:t>
            </w:r>
          </w:p>
          <w:p w:rsidR="0044614B" w:rsidRPr="006965DF" w:rsidRDefault="0044614B" w:rsidP="0044614B">
            <w:pPr>
              <w:pStyle w:val="ListParagraph"/>
              <w:widowControl/>
              <w:numPr>
                <w:ilvl w:val="0"/>
                <w:numId w:val="2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Certifi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cate of Merit in Health and Safety for Lab based supervisor, 2016.</w:t>
            </w:r>
          </w:p>
          <w:p w:rsidR="0044614B" w:rsidRPr="006965DF" w:rsidRDefault="0044614B" w:rsidP="0044614B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Certifi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cate from </w:t>
            </w: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Jatiya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Vijnan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Parishad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(Indi</w:t>
            </w:r>
            <w:r w:rsidR="00D95825"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an Science Congress Association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), 2005.</w:t>
            </w:r>
          </w:p>
        </w:tc>
      </w:tr>
      <w:tr w:rsidR="0044614B" w:rsidRPr="006965DF" w:rsidTr="006965DF">
        <w:tc>
          <w:tcPr>
            <w:tcW w:w="0" w:type="auto"/>
          </w:tcPr>
          <w:p w:rsidR="0044614B" w:rsidRPr="006965DF" w:rsidRDefault="00D95825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Awards and Honors</w:t>
            </w:r>
          </w:p>
        </w:tc>
        <w:tc>
          <w:tcPr>
            <w:tcW w:w="0" w:type="auto"/>
            <w:gridSpan w:val="2"/>
          </w:tcPr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Partner investigator in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Australia-Germany Joint Cooperation Grant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(Singh, Bhat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tacharj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ee, Ray, </w:t>
            </w: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Mostaghim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, Moritz) on “Identifi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cation of solutio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ns of interest to aid evolution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ary multi-objective optimization and decision-making" awarded by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Universities Australia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and DAAD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for 2017-2018 (23.5K AUD).</w:t>
            </w:r>
          </w:p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One out of three recipients (worldwide) of 2016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IEEE CIS Graduate Student Research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Grant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on “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Decomposition based evolutionary algorithm with a dual set of reference vectors"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(2.6K USD).</w:t>
            </w:r>
          </w:p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Recipient of the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Postgraduate Research Student Support (PRSS)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from UNSW (2.2K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AUD).</w:t>
            </w:r>
          </w:p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UNSW TFS Scholarship and Australian Research Council (ARC) funded scholarship from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Professor Tapabrata Ray, 2014, University of New South Wales (UNSW), Canberra.</w:t>
            </w:r>
          </w:p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Merit-cum-Means (MCM) Scholarship, 2008{2012, Indian Ins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titute of Technology, Kharagpur,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India.</w:t>
            </w:r>
          </w:p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Centre for Advanced Composite Materials (CACM) Scholarshi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p, 2012, University of Auckland,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New Zealand (4K NZD).</w:t>
            </w:r>
          </w:p>
          <w:p w:rsidR="0044614B" w:rsidRPr="006965DF" w:rsidRDefault="00D95825" w:rsidP="00D95825">
            <w:pPr>
              <w:pStyle w:val="ListParagraph"/>
              <w:widowControl/>
              <w:numPr>
                <w:ilvl w:val="0"/>
                <w:numId w:val="3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University of Auckland IIT Internship Scholarship, 2011, University of Auckland, New Zealand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(5K NZD).</w:t>
            </w:r>
          </w:p>
        </w:tc>
      </w:tr>
      <w:tr w:rsidR="0044614B" w:rsidRPr="006965DF" w:rsidTr="006965DF">
        <w:tc>
          <w:tcPr>
            <w:tcW w:w="0" w:type="auto"/>
          </w:tcPr>
          <w:p w:rsidR="0044614B" w:rsidRPr="006965DF" w:rsidRDefault="00D95825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Professional Service</w:t>
            </w:r>
          </w:p>
        </w:tc>
        <w:tc>
          <w:tcPr>
            <w:tcW w:w="0" w:type="auto"/>
            <w:gridSpan w:val="2"/>
          </w:tcPr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Member of the Program Committee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of a number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of premier conferences in the 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eld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e.g. The Secon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d Australian Conference on Artifi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cial Life and Computational Intelligence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(ACALCI'16), The 20th Asia-Pacifi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 Symposium on Intelligent and Evolutionary Systems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(IES'16) and The Australian Society for Operations Research National Conference (ASOR'16).</w:t>
            </w:r>
          </w:p>
          <w:p w:rsidR="0044614B" w:rsidRPr="006965DF" w:rsidRDefault="00D95825" w:rsidP="00D95825">
            <w:pPr>
              <w:pStyle w:val="ListParagraph"/>
              <w:widowControl/>
              <w:numPr>
                <w:ilvl w:val="0"/>
                <w:numId w:val="4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Regular Reviewer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of top journals in the 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eld: IEEE T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ransactions on Evolutionary Com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putation, IEEE Transactions on Cybernetics, Reliability Engineering and System Safety and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International Journal of Engineering Science and Technology.</w:t>
            </w:r>
          </w:p>
        </w:tc>
      </w:tr>
      <w:tr w:rsidR="0044614B" w:rsidRPr="006965DF" w:rsidTr="006965DF">
        <w:tc>
          <w:tcPr>
            <w:tcW w:w="0" w:type="auto"/>
          </w:tcPr>
          <w:p w:rsidR="0044614B" w:rsidRPr="006965DF" w:rsidRDefault="00D95825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Professional Memberships</w:t>
            </w:r>
          </w:p>
        </w:tc>
        <w:tc>
          <w:tcPr>
            <w:tcW w:w="0" w:type="auto"/>
            <w:gridSpan w:val="2"/>
          </w:tcPr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5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Student Member IEEE Young Professionals</w:t>
            </w:r>
          </w:p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5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Student Member IEEE Com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putational Intelligence Society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(Membership: 93404718)</w:t>
            </w:r>
          </w:p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5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Student Member International Society for Structural and Multidisciplinary Optimization (ISSMO)</w:t>
            </w:r>
          </w:p>
          <w:p w:rsidR="00D95825" w:rsidRPr="006965DF" w:rsidRDefault="00D95825" w:rsidP="00D95825">
            <w:pPr>
              <w:pStyle w:val="ListParagraph"/>
              <w:widowControl/>
              <w:numPr>
                <w:ilvl w:val="0"/>
                <w:numId w:val="5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Affi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liate Member, Institution of Mechanical Engineers (</w:t>
            </w: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IMechE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)</w:t>
            </w:r>
          </w:p>
          <w:p w:rsidR="0044614B" w:rsidRPr="006965DF" w:rsidRDefault="00D95825" w:rsidP="00D9582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Student Member, Royal Institute of Naval Architect (RINA).</w:t>
            </w:r>
          </w:p>
        </w:tc>
      </w:tr>
      <w:tr w:rsidR="0044614B" w:rsidRPr="006965DF" w:rsidTr="006965DF">
        <w:tc>
          <w:tcPr>
            <w:tcW w:w="0" w:type="auto"/>
          </w:tcPr>
          <w:p w:rsidR="0044614B" w:rsidRPr="006965DF" w:rsidRDefault="00D95825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Publications</w:t>
            </w:r>
          </w:p>
        </w:tc>
        <w:tc>
          <w:tcPr>
            <w:tcW w:w="0" w:type="auto"/>
            <w:gridSpan w:val="2"/>
          </w:tcPr>
          <w:p w:rsidR="0044614B" w:rsidRPr="006965DF" w:rsidRDefault="00D95825" w:rsidP="00D95825">
            <w:pPr>
              <w:widowControl/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I have authored/co-authored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1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Book chapter,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7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peer reviewed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Journal paper,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5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Lecture notes,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3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peer reviewed Conference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papers and </w:t>
            </w:r>
            <w:r w:rsidRPr="006965DF">
              <w:rPr>
                <w:rFonts w:asciiTheme="minorHAnsi" w:eastAsiaTheme="minorEastAsia" w:hAnsiTheme="minorHAnsi" w:cs="Arial"/>
                <w:b/>
                <w:sz w:val="18"/>
                <w:szCs w:val="20"/>
                <w:lang w:val="en-AU" w:eastAsia="ja-JP"/>
              </w:rPr>
              <w:t>1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abstract in Conference.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Please view my google scholar profile (</w:t>
            </w:r>
            <w:hyperlink r:id="rId9" w:history="1">
              <w:r w:rsidR="006965DF" w:rsidRPr="006965DF">
                <w:rPr>
                  <w:rStyle w:val="Hyperlink"/>
                  <w:rFonts w:asciiTheme="minorHAnsi" w:eastAsiaTheme="minorEastAsia" w:hAnsiTheme="minorHAnsi" w:cs="Arial"/>
                  <w:sz w:val="18"/>
                  <w:szCs w:val="20"/>
                  <w:lang w:val="en-AU" w:eastAsia="ja-JP"/>
                </w:rPr>
                <w:t>Google Scholar</w:t>
              </w:r>
            </w:hyperlink>
            <w:r w:rsidR="006965DF"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)</w:t>
            </w:r>
          </w:p>
        </w:tc>
      </w:tr>
      <w:tr w:rsidR="006965DF" w:rsidRPr="006965DF" w:rsidTr="006965DF">
        <w:tc>
          <w:tcPr>
            <w:tcW w:w="0" w:type="auto"/>
          </w:tcPr>
          <w:p w:rsidR="006965DF" w:rsidRPr="006965DF" w:rsidRDefault="006965DF">
            <w:pPr>
              <w:rPr>
                <w:rFonts w:asciiTheme="minorHAnsi" w:hAnsiTheme="minorHAnsi" w:cs="Arial"/>
                <w:sz w:val="18"/>
                <w:szCs w:val="20"/>
              </w:rPr>
            </w:pPr>
            <w:r w:rsidRPr="006965DF">
              <w:rPr>
                <w:rFonts w:asciiTheme="minorHAnsi" w:hAnsiTheme="minorHAnsi" w:cs="Arial"/>
                <w:sz w:val="18"/>
                <w:szCs w:val="20"/>
              </w:rPr>
              <w:t>List of Referees</w:t>
            </w:r>
          </w:p>
        </w:tc>
        <w:tc>
          <w:tcPr>
            <w:tcW w:w="0" w:type="auto"/>
            <w:gridSpan w:val="2"/>
          </w:tcPr>
          <w:p w:rsidR="006965DF" w:rsidRPr="006965DF" w:rsidRDefault="006965DF" w:rsidP="006965DF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Prof.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Tapabrata Ray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School of Engineering and Information Technology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The University of New South Wales, Canberra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Northcott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drive, ACT 2600.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Phone: +61 2 62688248, Fax: +61 2 62688276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Email: </w:t>
            </w:r>
            <w:hyperlink r:id="rId10" w:history="1">
              <w:r w:rsidRPr="006965DF">
                <w:rPr>
                  <w:rStyle w:val="Hyperlink"/>
                  <w:rFonts w:asciiTheme="minorHAnsi" w:eastAsiaTheme="minorEastAsia" w:hAnsiTheme="minorHAnsi" w:cs="Arial"/>
                  <w:sz w:val="18"/>
                  <w:szCs w:val="20"/>
                  <w:lang w:val="en-AU" w:eastAsia="ja-JP"/>
                </w:rPr>
                <w:t>t.ray@adfa.edu.au</w:t>
              </w:r>
            </w:hyperlink>
          </w:p>
          <w:p w:rsidR="006965DF" w:rsidRPr="006965DF" w:rsidRDefault="006965DF" w:rsidP="006965DF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Dr.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Hemant Kumar Singh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School of Engineering and Information Technology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The University of New South Wales, Canberra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Northcott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drive, ACT 2600.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Phone: +61 2 62688270, Fax: +61 2 62688276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Email: </w:t>
            </w:r>
            <w:hyperlink r:id="rId11" w:history="1">
              <w:r w:rsidRPr="006965DF">
                <w:rPr>
                  <w:rStyle w:val="Hyperlink"/>
                  <w:rFonts w:asciiTheme="minorHAnsi" w:eastAsiaTheme="minorEastAsia" w:hAnsiTheme="minorHAnsi" w:cs="Arial"/>
                  <w:sz w:val="18"/>
                  <w:szCs w:val="20"/>
                  <w:lang w:val="en-AU" w:eastAsia="ja-JP"/>
                </w:rPr>
                <w:t>h.singh@adfa.edu.au</w:t>
              </w:r>
            </w:hyperlink>
          </w:p>
          <w:p w:rsidR="006965DF" w:rsidRPr="006965DF" w:rsidRDefault="006965DF" w:rsidP="006965DF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Dr.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Jeroen Vendrig,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Canon Information Research Systems Australia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Macquarie Park, NSW 2113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Email: </w:t>
            </w:r>
            <w:hyperlink r:id="rId12" w:history="1">
              <w:r w:rsidRPr="006965DF">
                <w:rPr>
                  <w:rStyle w:val="Hyperlink"/>
                  <w:rFonts w:asciiTheme="minorHAnsi" w:eastAsiaTheme="minorEastAsia" w:hAnsiTheme="minorHAnsi" w:cs="Arial"/>
                  <w:sz w:val="18"/>
                  <w:szCs w:val="20"/>
                  <w:lang w:val="en-AU" w:eastAsia="ja-JP"/>
                </w:rPr>
                <w:t>jeroen.vendrig@cisra.canon.com.au</w:t>
              </w:r>
            </w:hyperlink>
          </w:p>
          <w:p w:rsidR="006965DF" w:rsidRPr="006965DF" w:rsidRDefault="006965DF" w:rsidP="006965DF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Dr.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Nagita Mehrseresht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Canon Information Research Systems Australia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Macquarie Park, NSW 2113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Email: </w:t>
            </w:r>
            <w:hyperlink r:id="rId13" w:history="1">
              <w:r w:rsidRPr="006965DF">
                <w:rPr>
                  <w:rStyle w:val="Hyperlink"/>
                  <w:rFonts w:asciiTheme="minorHAnsi" w:eastAsiaTheme="minorEastAsia" w:hAnsiTheme="minorHAnsi" w:cs="Arial"/>
                  <w:sz w:val="18"/>
                  <w:szCs w:val="20"/>
                  <w:lang w:val="en-AU" w:eastAsia="ja-JP"/>
                </w:rPr>
                <w:t>nagita.mehrseresht@cisra.canon.com.au</w:t>
              </w:r>
            </w:hyperlink>
          </w:p>
          <w:p w:rsidR="006965DF" w:rsidRPr="006965DF" w:rsidRDefault="006965DF" w:rsidP="006965DF">
            <w:pPr>
              <w:pStyle w:val="ListParagraph"/>
              <w:widowControl/>
              <w:numPr>
                <w:ilvl w:val="0"/>
                <w:numId w:val="6"/>
              </w:numPr>
              <w:adjustRightInd w:val="0"/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</w:pP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Prof.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</w:t>
            </w:r>
            <w:proofErr w:type="spellStart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Qingfu</w:t>
            </w:r>
            <w:proofErr w:type="spellEnd"/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 Zhang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Department of Computer Science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City University of Hong Kong, Hong Kong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>Phone: +852 34428632</w:t>
            </w:r>
            <w:r w:rsidRPr="006965DF">
              <w:rPr>
                <w:rFonts w:asciiTheme="minorHAnsi" w:eastAsiaTheme="minorEastAsia" w:hAnsiTheme="minorHAnsi" w:cs="Arial"/>
                <w:sz w:val="18"/>
                <w:szCs w:val="20"/>
                <w:lang w:val="en-AU" w:eastAsia="ja-JP"/>
              </w:rPr>
              <w:t xml:space="preserve">, Email: </w:t>
            </w:r>
            <w:hyperlink r:id="rId14" w:history="1">
              <w:r w:rsidRPr="006965DF">
                <w:rPr>
                  <w:rStyle w:val="Hyperlink"/>
                  <w:rFonts w:asciiTheme="minorHAnsi" w:eastAsiaTheme="minorEastAsia" w:hAnsiTheme="minorHAnsi" w:cs="Arial"/>
                  <w:sz w:val="18"/>
                  <w:szCs w:val="20"/>
                  <w:lang w:val="en-AU" w:eastAsia="ja-JP"/>
                </w:rPr>
                <w:t>qingfu.zhang@cityu.edu.hk</w:t>
              </w:r>
            </w:hyperlink>
          </w:p>
        </w:tc>
      </w:tr>
    </w:tbl>
    <w:p w:rsidR="00F268AA" w:rsidRDefault="00F268AA">
      <w:pPr>
        <w:rPr>
          <w:rFonts w:ascii="Arial" w:hAnsi="Arial" w:cs="Arial"/>
        </w:rPr>
      </w:pPr>
    </w:p>
    <w:p w:rsidR="00D95825" w:rsidRPr="0044614B" w:rsidRDefault="00D95825">
      <w:pPr>
        <w:rPr>
          <w:rFonts w:ascii="Arial" w:hAnsi="Arial" w:cs="Arial"/>
        </w:rPr>
      </w:pPr>
    </w:p>
    <w:sectPr w:rsidR="00D95825" w:rsidRPr="00446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04B5"/>
    <w:multiLevelType w:val="hybridMultilevel"/>
    <w:tmpl w:val="EC7256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FD07A6"/>
    <w:multiLevelType w:val="hybridMultilevel"/>
    <w:tmpl w:val="A664D0EC"/>
    <w:lvl w:ilvl="0" w:tplc="0C090001">
      <w:start w:val="1"/>
      <w:numFmt w:val="bullet"/>
      <w:lvlText w:val=""/>
      <w:lvlJc w:val="left"/>
      <w:pPr>
        <w:ind w:left="37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C39F8"/>
    <w:multiLevelType w:val="hybridMultilevel"/>
    <w:tmpl w:val="D24C5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B0847"/>
    <w:multiLevelType w:val="hybridMultilevel"/>
    <w:tmpl w:val="2FDC7A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6417430"/>
    <w:multiLevelType w:val="hybridMultilevel"/>
    <w:tmpl w:val="A86844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161D63"/>
    <w:multiLevelType w:val="hybridMultilevel"/>
    <w:tmpl w:val="4C3E4ED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D"/>
    <w:rsid w:val="0044614B"/>
    <w:rsid w:val="0069016D"/>
    <w:rsid w:val="006965DF"/>
    <w:rsid w:val="00D95825"/>
    <w:rsid w:val="00F2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614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8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614B"/>
    <w:pPr>
      <w:widowControl w:val="0"/>
      <w:autoSpaceDE w:val="0"/>
      <w:autoSpaceDN w:val="0"/>
      <w:spacing w:after="0" w:line="240" w:lineRule="auto"/>
    </w:pPr>
    <w:rPr>
      <w:rFonts w:ascii="PMingLiU" w:eastAsia="PMingLiU" w:hAnsi="PMingLiU" w:cs="PMingLiU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61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pyay8TUAAAAJ&amp;hl=en" TargetMode="External"/><Relationship Id="rId13" Type="http://schemas.openxmlformats.org/officeDocument/2006/relationships/hyperlink" Target="mailto:nagita.mehrseresht@cisra.canon.com.a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kalyan-bhattacharjee-91552215/" TargetMode="External"/><Relationship Id="rId12" Type="http://schemas.openxmlformats.org/officeDocument/2006/relationships/hyperlink" Target="mailto:jeroen.vendrig@cisra.canon.com.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kalyanb29" TargetMode="External"/><Relationship Id="rId11" Type="http://schemas.openxmlformats.org/officeDocument/2006/relationships/hyperlink" Target="mailto:h.singh@adfa.edu.a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t.ray@adfa.edu.a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pyay8TUAAAAJ&amp;hl=en" TargetMode="External"/><Relationship Id="rId14" Type="http://schemas.openxmlformats.org/officeDocument/2006/relationships/hyperlink" Target="mailto:qingfu.zhang@cityu.edu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1341</Words>
  <Characters>7649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CiSRA</Company>
  <LinksUpToDate>false</LinksUpToDate>
  <CharactersWithSpaces>8973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Bhattacharjee</dc:creator>
  <cp:keywords/>
  <dc:description/>
  <cp:lastModifiedBy>Kalyan Bhattacharjee</cp:lastModifiedBy>
  <cp:revision>2</cp:revision>
  <dcterms:created xsi:type="dcterms:W3CDTF">2018-01-05T01:14:00Z</dcterms:created>
  <dcterms:modified xsi:type="dcterms:W3CDTF">2018-01-05T01:49:00Z</dcterms:modified>
</cp:coreProperties>
</file>