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90a50c1be49a4d93"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 w14:paraId="00100002" w14:textId="00100003">
      <w:pPr>
        <w:jc w:val="center"/>
      </w:pPr>
      <w:r>
        <w:rPr>
          <w:b/>
          <w:color w:val="1A538E"/>
          <w:sz w:val="44"/>
        </w:rPr>
        <w:t>India Electricity Consumption</w:t>
      </w:r>
    </w:p>
    <w:p w14:paraId="00100004" w14:textId="00100005">
      <w:pPr>
        <w:jc w:val="center"/>
      </w:pPr>
      <w:r>
        <w:rPr>
          <w:b/>
          <w:color w:val="1A538E"/>
          <w:sz w:val="44"/>
        </w:rPr>
        <w:t>Analysis &amp; Forecasting</w:t>
      </w:r>
    </w:p>
    <w:p w14:paraId="00100006" w14:textId="00100007"/>
    <w:p w14:paraId="00100008" w14:textId="00100009">
      <w:pPr>
        <w:jc w:val="center"/>
      </w:pPr>
      <w:r>
        <w:rPr>
          <w:color w:val="444444"/>
          <w:sz w:val="28"/>
        </w:rPr>
        <w:t>Data Analyst Internship Project Report</w:t>
      </w:r>
    </w:p>
    <w:p w14:paraId="0010000A" w14:textId="0010000B"/>
    <w:p w14:paraId="0010000C" w14:textId="00100499">
      <w:pPr>
        <w:jc w:val="center"/>
      </w:pPr>
      <w:r>
        <w:rPr>
          <w:sz w:val="24"/>
        </w:rPr>
        <w:t xml:space="preserve">Author: Magham Kalyani</w:t>
      </w:r>
    </w:p>
    <w:p w14:paraId="0010000E" w14:textId="0010000F">
      <w:pPr>
        <w:jc w:val="center"/>
      </w:pPr>
      <w:r>
        <w:rPr>
          <w:color w:val="555555"/>
          <w:sz w:val="22"/>
        </w:rPr>
        <w:t>Technology Stack: Python  |  Pandas  |  NumPy  |  Plotly  |  Streamlit  |  Statsmodels</w:t>
      </w:r>
    </w:p>
    <w:p w14:paraId="00100010" w14:textId="0010049A">
      <w:pPr>
        <w:jc w:val="center"/>
      </w:pPr>
      <w:r>
        <w:rPr>
          <w:color w:val="555555"/>
          <w:sz w:val="22"/>
        </w:rPr>
        <w:t xml:space="preserve">Dataset Period: 2013 – 2024   |   Project File: Magham_kalyani_India_Electricity_Analysis.py</w:t>
      </w:r>
    </w:p>
    <w:p w14:paraId="00100012" w14:textId="00100013">
      <w:r>
        <w:br w:type="page"/>
      </w:r>
    </w:p>
    <w:p w14:paraId="00100014" w14:textId="00100015">
      <w:pPr>
        <w:pStyle w:val="Heading1"/>
      </w:pPr>
      <w:r>
        <w:rPr>
          <w:b/>
          <w:color w:val="1A538E"/>
          <w:sz w:val="28"/>
        </w:rPr>
        <w:t>1. Executive Summary</w:t>
      </w:r>
    </w:p>
    <w:p w14:paraId="00100016" w14:textId="00100017">
      <w:pPr>
        <w:spacing w:before="0" w:after="80"/>
      </w:pPr>
      <w:r>
        <w:rPr>
          <w:b w:val="0"/>
          <w:sz w:val="22"/>
        </w:rPr>
        <w:t>This project delivers an end-to-end data analysis and forecasting solution for India's daily electricity consumption from 2013 to 2024. Drawing on a publicly available Kaggle dataset compiled from POSOCO records, the project applies a complete data analyst workflow: raw data ingestion and cleaning, exploratory analysis, entity-level profiling, IQR-based anomaly detection, Holt-Winters time-series forecasting, and an interactive Streamlit dashboard.</w:t>
      </w:r>
    </w:p>
    <w:p w14:paraId="00100018" w14:textId="0010049B">
      <w:pPr>
        <w:spacing w:before="0" w:after="80"/>
      </w:pPr>
      <w:r>
        <w:rPr>
          <w:b w:val="0"/>
          <w:sz w:val="22"/>
        </w:rPr>
        <w:t xml:space="preserve">The cleaned dataset covers 3,707 daily records across 38 columns, spanning 34 geographic entities plus national totals. Key outputs include a validated 30-day forecast (MAPE 3.84% on a 90-day holdout), identification of 37 statistically unusual consumption days, and an interactive dashboard exposing all analysis layers. All project code resides in a single file: Magham_kalyani_India_Electricity_Analysis.py.</w:t>
      </w:r>
    </w:p>
    <w:p w14:paraId="0010001A" w14:textId="0010001B">
      <w:pPr>
        <w:spacing w:before="80" w:after="80"/>
        <w:pBdr>
          <w:bottom w:val="single" w:color="CCCCCC" w:sz="4" w:space="1"/>
        </w:pBdr>
      </w:pPr>
    </w:p>
    <w:p w14:paraId="0010001C" w14:textId="0010001D">
      <w:pPr>
        <w:pStyle w:val="Heading1"/>
      </w:pPr>
      <w:r>
        <w:rPr>
          <w:b/>
          <w:color w:val="1A538E"/>
          <w:sz w:val="28"/>
        </w:rPr>
        <w:t>2. Problem Statement</w:t>
      </w:r>
    </w:p>
    <w:p w14:paraId="0010001E" w14:textId="0010001F">
      <w:pPr>
        <w:spacing w:before="0" w:after="80"/>
      </w:pPr>
      <w:r>
        <w:rPr>
          <w:b w:val="0"/>
          <w:sz w:val="22"/>
        </w:rPr>
        <w:t>India's electricity grid serves a diverse geography through dozens of states, Union Territories, and distribution entities. Daily consumption records across these entities form a rich time series spanning over a decade of growth, seasonal variation, and structural change.</w:t>
      </w:r>
    </w:p>
    <w:p w14:paraId="00100020" w14:textId="00100021">
      <w:pPr>
        <w:spacing w:before="0" w:after="80"/>
      </w:pPr>
      <w:r>
        <w:rPr>
          <w:b w:val="0"/>
          <w:sz w:val="22"/>
        </w:rPr>
        <w:t>The analytical question addressed: How can historical daily electricity consumption data for India and its geographic entities be systematically cleaned, analysed, and modelled to reveal consumption patterns, identify statistically unusual observations, and generate a short-term national forecast?</w:t>
      </w:r>
    </w:p>
    <w:p w14:paraId="00100022" w14:textId="00100023">
      <w:pPr>
        <w:spacing w:before="0" w:after="80"/>
      </w:pPr>
      <w:r>
        <w:rPr>
          <w:b w:val="0"/>
          <w:sz w:val="22"/>
        </w:rPr>
        <w:t>The raw dataset contains missing calendar dates, sparse entity values, and floating-point precision artefacts. The project addresses each challenge through a documented cleaning pipeline before any analysis is performed.</w:t>
      </w:r>
    </w:p>
    <w:p w14:paraId="00100024" w14:textId="00100025">
      <w:pPr>
        <w:spacing w:before="80" w:after="80"/>
        <w:pBdr>
          <w:bottom w:val="single" w:color="CCCCCC" w:sz="4" w:space="1"/>
        </w:pBdr>
      </w:pPr>
    </w:p>
    <w:p w14:paraId="00100026" w14:textId="00100027">
      <w:pPr>
        <w:pStyle w:val="Heading1"/>
      </w:pPr>
      <w:r>
        <w:rPr>
          <w:b/>
          <w:color w:val="1A538E"/>
          <w:sz w:val="28"/>
        </w:rPr>
        <w:t>3. Project Objectives</w:t>
      </w:r>
    </w:p>
    <w:p w14:paraId="00100028" w14:textId="00100029">
      <w:pPr>
        <w:pStyle w:val="ListBullet"/>
        <w:spacing w:after="60"/>
      </w:pPr>
      <w:r>
        <w:rPr>
          <w:sz w:val="22"/>
        </w:rPr>
        <w:t>Load and inspect the raw CSV dataset from Kaggle.</w:t>
      </w:r>
    </w:p>
    <w:p w14:paraId="0010002A" w14:textId="0010002B">
      <w:pPr>
        <w:pStyle w:val="ListBullet"/>
        <w:spacing w:after="60"/>
      </w:pPr>
      <w:r>
        <w:rPr>
          <w:sz w:val="22"/>
        </w:rPr>
        <w:t>Clean and prepare the data: parse dates, convert numeric types, recalculate missing totals, preserve entity-level NaN values without zero-filling.</w:t>
      </w:r>
    </w:p>
    <w:p w14:paraId="0010002C" w14:textId="0010002D">
      <w:pPr>
        <w:pStyle w:val="ListBullet"/>
        <w:spacing w:after="60"/>
      </w:pPr>
      <w:r>
        <w:rPr>
          <w:sz w:val="22"/>
        </w:rPr>
        <w:t>Reshape the wide-format dataset into a long-format tidy structure for entity-level analysis.</w:t>
      </w:r>
    </w:p>
    <w:p w14:paraId="0010002E" w14:textId="0010002F">
      <w:pPr>
        <w:pStyle w:val="ListBullet"/>
        <w:spacing w:after="60"/>
      </w:pPr>
      <w:r>
        <w:rPr>
          <w:sz w:val="22"/>
        </w:rPr>
        <w:t>Analyse national consumption trends at daily, monthly, and yearly granularity.</w:t>
      </w:r>
    </w:p>
    <w:p w14:paraId="00100030" w14:textId="00100031">
      <w:pPr>
        <w:pStyle w:val="ListBullet"/>
        <w:spacing w:after="60"/>
      </w:pPr>
      <w:r>
        <w:rPr>
          <w:sz w:val="22"/>
        </w:rPr>
        <w:t>Compare geographic entities by total and average consumption.</w:t>
      </w:r>
    </w:p>
    <w:p w14:paraId="00100032" w14:textId="00100033">
      <w:pPr>
        <w:pStyle w:val="ListBullet"/>
        <w:spacing w:after="60"/>
      </w:pPr>
      <w:r>
        <w:rPr>
          <w:sz w:val="22"/>
        </w:rPr>
        <w:t>Provide entity-specific yearly and monthly trend analysis.</w:t>
      </w:r>
    </w:p>
    <w:p w14:paraId="00100034" w14:textId="00100035">
      <w:pPr>
        <w:pStyle w:val="ListBullet"/>
        <w:spacing w:after="60"/>
      </w:pPr>
      <w:r>
        <w:rPr>
          <w:sz w:val="22"/>
        </w:rPr>
        <w:t>Detect statistically unusual consumption days using the IQR method at both national and entity levels.</w:t>
      </w:r>
    </w:p>
    <w:p w14:paraId="00100036" w14:textId="00100037">
      <w:pPr>
        <w:pStyle w:val="ListBullet"/>
        <w:spacing w:after="60"/>
      </w:pPr>
      <w:r>
        <w:rPr>
          <w:sz w:val="22"/>
        </w:rPr>
        <w:t>Build and validate a 30-day electricity consumption forecast using Holt-Winters Exponential Smoothing with a 90-day chronological holdout.</w:t>
      </w:r>
    </w:p>
    <w:p w14:paraId="00100038" w14:textId="00100039">
      <w:pPr>
        <w:pStyle w:val="ListBullet"/>
        <w:spacing w:after="60"/>
      </w:pPr>
      <w:r>
        <w:rPr>
          <w:sz w:val="22"/>
        </w:rPr>
        <w:t>Develop an interactive Streamlit dashboard with Plotly visualisations and sidebar entity/date filters.</w:t>
      </w:r>
    </w:p>
    <w:p w14:paraId="0010003A" w14:textId="0010003B">
      <w:pPr>
        <w:pStyle w:val="ListBullet"/>
        <w:spacing w:after="60"/>
      </w:pPr>
      <w:r>
        <w:rPr>
          <w:sz w:val="22"/>
        </w:rPr>
        <w:t>Present findings clearly for internship evaluation and as a Data Analyst portfolio piece.</w:t>
      </w:r>
    </w:p>
    <w:p w14:paraId="0010003C" w14:textId="0010003D">
      <w:pPr>
        <w:spacing w:before="80" w:after="80"/>
        <w:pBdr>
          <w:bottom w:val="single" w:color="CCCCCC" w:sz="4" w:space="1"/>
        </w:pBdr>
      </w:pPr>
    </w:p>
    <w:p w14:paraId="0010003E" w14:textId="0010003F">
      <w:pPr>
        <w:pStyle w:val="Heading1"/>
      </w:pPr>
      <w:r>
        <w:rPr>
          <w:b/>
          <w:color w:val="1A538E"/>
          <w:sz w:val="28"/>
        </w:rPr>
        <w:t>4. Dataset Description</w:t>
      </w:r>
    </w:p>
    <w:tbl>
      <w:tblPr>
        <w:tblStyle w:val="TableGrid"/>
        <w:tblW w:w="0" w:type="auto"/>
        <w:jc w:val="center"/>
        <w:tblLook w:val="04A0" w:firstRow="1" w:lastRow="0" w:firstColumn="1" w:lastColumn="0" w:noHBand="0" w:noVBand="1"/>
      </w:tblPr>
      <w:tblGrid>
        <w:gridCol w:w="4703"/>
        <w:gridCol w:w="4703"/>
      </w:tblGrid>
      <w:tr>
        <w:tc>
          <w:tcPr>
            <w:tcW w:w="4320" w:type="dxa"/>
            <w:shd w:val="clear" w:color="auto" w:fill="EBF3FB"/>
          </w:tcPr>
          <w:p w14:paraId="00100040" w14:textId="00100041">
            <w:r>
              <w:rPr>
                <w:b/>
                <w:sz w:val="21"/>
              </w:rPr>
              <w:t>Dataset Name</w:t>
            </w:r>
          </w:p>
        </w:tc>
        <w:tc>
          <w:tcPr>
            <w:tcW w:w="4320" w:type="dxa"/>
            <w:shd w:val="clear" w:color="auto" w:fill="EBF3FB"/>
          </w:tcPr>
          <w:p w14:paraId="00100042" w14:textId="00100043">
            <w:pPr>
              <w:jc w:val="center"/>
            </w:pPr>
            <w:r>
              <w:rPr>
                <w:sz w:val="21"/>
              </w:rPr>
              <w:t>India's Electricity Consumption Dataset</w:t>
            </w:r>
          </w:p>
        </w:tc>
      </w:tr>
      <w:tr>
        <w:tc>
          <w:tcPr>
            <w:tcW w:w="4320" w:type="dxa"/>
            <w:shd w:val="clear" w:color="auto" w:fill="FFFFFF"/>
          </w:tcPr>
          <w:p w14:paraId="00100044" w14:textId="00100045">
            <w:r>
              <w:rPr>
                <w:b/>
                <w:sz w:val="21"/>
              </w:rPr>
              <w:t>Platform</w:t>
            </w:r>
          </w:p>
        </w:tc>
        <w:tc>
          <w:tcPr>
            <w:tcW w:w="4320" w:type="dxa"/>
            <w:shd w:val="clear" w:color="auto" w:fill="FFFFFF"/>
          </w:tcPr>
          <w:p w14:paraId="00100046" w14:textId="00100047">
            <w:pPr>
              <w:jc w:val="center"/>
            </w:pPr>
            <w:r>
              <w:rPr>
                <w:sz w:val="21"/>
              </w:rPr>
              <w:t>Kaggle</w:t>
            </w:r>
          </w:p>
        </w:tc>
      </w:tr>
      <w:tr>
        <w:tc>
          <w:tcPr>
            <w:tcW w:w="4320" w:type="dxa"/>
            <w:shd w:val="clear" w:color="auto" w:fill="EBF3FB"/>
          </w:tcPr>
          <w:p w14:paraId="00100048" w14:textId="00100049">
            <w:r>
              <w:rPr>
                <w:b/>
                <w:sz w:val="21"/>
              </w:rPr>
              <w:t>Dataset Author</w:t>
            </w:r>
          </w:p>
        </w:tc>
        <w:tc>
          <w:tcPr>
            <w:tcW w:w="4320" w:type="dxa"/>
            <w:shd w:val="clear" w:color="auto" w:fill="EBF3FB"/>
          </w:tcPr>
          <w:p w14:paraId="0010004A" w14:textId="0010004B">
            <w:pPr>
              <w:jc w:val="center"/>
            </w:pPr>
            <w:r>
              <w:rPr>
                <w:sz w:val="21"/>
              </w:rPr>
              <w:t>Aryan Khurana (aryankhurana1701)</w:t>
            </w:r>
          </w:p>
        </w:tc>
      </w:tr>
      <w:tr>
        <w:tc>
          <w:tcPr>
            <w:tcW w:w="4320" w:type="dxa"/>
            <w:shd w:val="clear" w:color="auto" w:fill="FFFFFF"/>
          </w:tcPr>
          <w:p w14:paraId="0010004C" w14:textId="0010004D">
            <w:r>
              <w:rPr>
                <w:b/>
                <w:sz w:val="21"/>
              </w:rPr>
              <w:t>URL</w:t>
            </w:r>
          </w:p>
        </w:tc>
        <w:tc>
          <w:tcPr>
            <w:tcW w:w="4320" w:type="dxa"/>
            <w:shd w:val="clear" w:color="auto" w:fill="FFFFFF"/>
          </w:tcPr>
          <w:p w14:paraId="0010004E" w14:textId="0010004F">
            <w:pPr>
              <w:jc w:val="center"/>
            </w:pPr>
            <w:r>
              <w:rPr>
                <w:sz w:val="21"/>
              </w:rPr>
              <w:t>https://www.kaggle.com/datasets/aryankhurana1701/state-wise-electricity-consumption-in-india</w:t>
            </w:r>
          </w:p>
        </w:tc>
      </w:tr>
      <w:tr>
        <w:tc>
          <w:tcPr>
            <w:tcW w:w="4320" w:type="dxa"/>
            <w:shd w:val="clear" w:color="auto" w:fill="EBF3FB"/>
          </w:tcPr>
          <w:p w14:paraId="00100050" w14:textId="00100051">
            <w:r>
              <w:rPr>
                <w:b/>
                <w:sz w:val="21"/>
              </w:rPr>
              <w:t>Underlying Source</w:t>
            </w:r>
          </w:p>
        </w:tc>
        <w:tc>
          <w:tcPr>
            <w:tcW w:w="4320" w:type="dxa"/>
            <w:shd w:val="clear" w:color="auto" w:fill="EBF3FB"/>
          </w:tcPr>
          <w:p w14:paraId="00100052" w14:textId="00100053">
            <w:pPr>
              <w:jc w:val="center"/>
            </w:pPr>
            <w:r>
              <w:rPr>
                <w:sz w:val="21"/>
              </w:rPr>
              <w:t>POSOCO – Power System Operation Corporation of India</w:t>
            </w:r>
          </w:p>
        </w:tc>
      </w:tr>
      <w:tr>
        <w:tc>
          <w:tcPr>
            <w:tcW w:w="4320" w:type="dxa"/>
            <w:shd w:val="clear" w:color="auto" w:fill="FFFFFF"/>
          </w:tcPr>
          <w:p w14:paraId="00100054" w14:textId="00100055">
            <w:r>
              <w:rPr>
                <w:b/>
                <w:sz w:val="21"/>
              </w:rPr>
              <w:t>Raw Shape</w:t>
            </w:r>
          </w:p>
        </w:tc>
        <w:tc>
          <w:tcPr>
            <w:tcW w:w="4320" w:type="dxa"/>
            <w:shd w:val="clear" w:color="auto" w:fill="FFFFFF"/>
          </w:tcPr>
          <w:p w14:paraId="00100056" w14:textId="00100057">
            <w:pPr>
              <w:jc w:val="center"/>
            </w:pPr>
            <w:r>
              <w:rPr>
                <w:sz w:val="21"/>
              </w:rPr>
              <w:t>3,707 rows × 39 columns</w:t>
            </w:r>
          </w:p>
        </w:tc>
      </w:tr>
      <w:tr>
        <w:tc>
          <w:tcPr>
            <w:tcW w:w="4320" w:type="dxa"/>
            <w:shd w:val="clear" w:color="auto" w:fill="EBF3FB"/>
          </w:tcPr>
          <w:p w14:paraId="00100058" w14:textId="00100059">
            <w:r>
              <w:rPr>
                <w:b/>
                <w:sz w:val="21"/>
              </w:rPr>
              <w:t>Date Range</w:t>
            </w:r>
          </w:p>
        </w:tc>
        <w:tc>
          <w:tcPr>
            <w:tcW w:w="4320" w:type="dxa"/>
            <w:shd w:val="clear" w:color="auto" w:fill="EBF3FB"/>
          </w:tcPr>
          <w:p w14:paraId="0010005A" w14:textId="0010005B">
            <w:pPr>
              <w:jc w:val="center"/>
            </w:pPr>
            <w:r>
              <w:rPr>
                <w:sz w:val="21"/>
              </w:rPr>
              <w:t>2013-01-06 to 2024-09-29 (daily)</w:t>
            </w:r>
          </w:p>
        </w:tc>
      </w:tr>
      <w:tr>
        <w:tc>
          <w:tcPr>
            <w:tcW w:w="4320" w:type="dxa"/>
            <w:shd w:val="clear" w:color="auto" w:fill="FFFFFF"/>
          </w:tcPr>
          <w:p w14:paraId="0010005C" w14:textId="0010005D">
            <w:r>
              <w:rPr>
                <w:b/>
                <w:sz w:val="21"/>
              </w:rPr>
              <w:t>Partial Years</w:t>
            </w:r>
          </w:p>
        </w:tc>
        <w:tc>
          <w:tcPr>
            <w:tcW w:w="4320" w:type="dxa"/>
            <w:shd w:val="clear" w:color="auto" w:fill="FFFFFF"/>
          </w:tcPr>
          <w:p w14:paraId="0010005E" w14:textId="0010005F">
            <w:pPr>
              <w:jc w:val="center"/>
            </w:pPr>
            <w:r>
              <w:rPr>
                <w:sz w:val="21"/>
              </w:rPr>
              <w:t>2013*, 2023*, 2024*  (* = incomplete calendar year)</w:t>
            </w:r>
          </w:p>
        </w:tc>
      </w:tr>
      <w:tr>
        <w:tc>
          <w:tcPr>
            <w:tcW w:w="4320" w:type="dxa"/>
            <w:shd w:val="clear" w:color="auto" w:fill="EBF3FB"/>
          </w:tcPr>
          <w:p w14:paraId="00100060" w14:textId="00100061">
            <w:r>
              <w:rPr>
                <w:b/>
                <w:sz w:val="21"/>
              </w:rPr>
              <w:t>Unit of Measure</w:t>
            </w:r>
          </w:p>
        </w:tc>
        <w:tc>
          <w:tcPr>
            <w:tcW w:w="4320" w:type="dxa"/>
            <w:shd w:val="clear" w:color="auto" w:fill="EBF3FB"/>
          </w:tcPr>
          <w:p w14:paraId="00100062" w14:textId="00100063">
            <w:pPr>
              <w:jc w:val="center"/>
            </w:pPr>
            <w:r>
              <w:rPr>
                <w:sz w:val="21"/>
              </w:rPr>
              <w:t>MU (Million Units = GWh)</w:t>
            </w:r>
          </w:p>
        </w:tc>
      </w:tr>
      <w:tr>
        <w:tc>
          <w:tcPr>
            <w:tcW w:w="4320" w:type="dxa"/>
            <w:shd w:val="clear" w:color="auto" w:fill="FFFFFF"/>
          </w:tcPr>
          <w:p w14:paraId="00100064" w14:textId="00100065">
            <w:r>
              <w:rPr>
                <w:b/>
                <w:sz w:val="21"/>
              </w:rPr>
              <w:t>Missing Dates</w:t>
            </w:r>
          </w:p>
        </w:tc>
        <w:tc>
          <w:tcPr>
            <w:tcW w:w="4320" w:type="dxa"/>
            <w:shd w:val="clear" w:color="auto" w:fill="FFFFFF"/>
          </w:tcPr>
          <w:p w14:paraId="00100066" w14:textId="00100067">
            <w:pPr>
              <w:jc w:val="center"/>
            </w:pPr>
            <w:r>
              <w:rPr>
                <w:sz w:val="21"/>
              </w:rPr>
              <w:t>578 calendar dates absent (irregular series)</w:t>
            </w:r>
          </w:p>
        </w:tc>
      </w:tr>
    </w:tbl>
    <w:p w14:paraId="00100068" w14:textId="00100069">
      <w:pPr>
        <w:spacing w:after="120"/>
      </w:pPr>
    </w:p>
    <w:p w14:paraId="0010006A" w14:textId="0010006B">
      <w:pPr>
        <w:spacing w:before="0" w:after="80"/>
      </w:pPr>
      <w:r>
        <w:rPr>
          <w:b w:val="0"/>
          <w:sz w:val="21"/>
        </w:rPr>
        <w:t>Geographic entities covered: Indian states, Union Territories (Chandigarh, Delhi, Daman &amp; Diu, Dadra &amp; Nagar Haveli, Puducherry), DVC (Damodar Valley Corporation), and Essar Steel. DVC and Essar Steel are excluded from the long-format geographic analysis since they are not state/UT entities.</w:t>
      </w:r>
    </w:p>
    <w:p w14:paraId="0010006C" w14:textId="0010006D">
      <w:pPr>
        <w:spacing w:before="120" w:after="40"/>
        <w:jc w:val="center"/>
      </w:pPr>
      <w:r>
        <w:drawing>
          <wp:inline xmlns:a="http://schemas.openxmlformats.org/drawingml/2006/main" xmlns:pic="http://schemas.openxmlformats.org/drawingml/2006/picture">
            <wp:extent cx="5029200" cy="2388870"/>
            <wp:docPr id="1" name="Picture 1"/>
            <wp:cNvGraphicFramePr>
              <a:graphicFrameLocks noChangeAspect="1"/>
            </wp:cNvGraphicFramePr>
            <a:graphic>
              <a:graphicData uri="http://schemas.openxmlformats.org/drawingml/2006/picture">
                <pic:pic>
                  <pic:nvPicPr>
                    <pic:cNvPr id="0" name="fig8_missing.png"/>
                    <pic:cNvPicPr/>
                  </pic:nvPicPr>
                  <pic:blipFill>
                    <a:blip r:embed="rId9"/>
                    <a:stretch>
                      <a:fillRect/>
                    </a:stretch>
                  </pic:blipFill>
                  <pic:spPr>
                    <a:xfrm>
                      <a:off x="0" y="0"/>
                      <a:ext cx="5029200" cy="2388870"/>
                    </a:xfrm>
                    <a:prstGeom prst="rect"/>
                  </pic:spPr>
                </pic:pic>
              </a:graphicData>
            </a:graphic>
          </wp:inline>
        </w:drawing>
      </w:r>
    </w:p>
    <w:p w14:paraId="0010006E" w14:textId="0010006F">
      <w:pPr>
        <w:spacing w:after="200"/>
        <w:jc w:val="center"/>
      </w:pPr>
      <w:r>
        <w:rPr>
          <w:i/>
          <w:color w:val="555555"/>
          <w:sz w:val="19"/>
        </w:rPr>
        <w:t>Figure 1 — Columns with Missing Values. Six columns have notable NaN rates; Pondy (56.1%) and Tripura (47.0%) are most affected. Missing values are preserved as NaN — not zero-filled.</w:t>
      </w:r>
    </w:p>
    <w:p w14:paraId="00100070" w14:textId="00100071">
      <w:pPr>
        <w:spacing w:before="80" w:after="80"/>
        <w:pBdr>
          <w:bottom w:val="single" w:color="CCCCCC" w:sz="4" w:space="1"/>
        </w:pBdr>
      </w:pPr>
    </w:p>
    <w:p w14:paraId="00100072" w14:textId="00100073">
      <w:pPr>
        <w:pStyle w:val="Heading1"/>
      </w:pPr>
      <w:r>
        <w:rPr>
          <w:b/>
          <w:color w:val="1A538E"/>
          <w:sz w:val="28"/>
        </w:rPr>
        <w:t>5. Tools and Technologies</w:t>
      </w:r>
    </w:p>
    <w:tbl>
      <w:tblPr>
        <w:tblStyle w:val="TableGrid"/>
        <w:tblW w:w="0" w:type="auto"/>
        <w:jc w:val="center"/>
        <w:tblLook w:val="04A0" w:firstRow="1" w:lastRow="0" w:firstColumn="1" w:lastColumn="0" w:noHBand="0" w:noVBand="1"/>
      </w:tblPr>
      <w:tblGrid>
        <w:gridCol w:w="3135"/>
        <w:gridCol w:w="3135"/>
        <w:gridCol w:w="3135"/>
      </w:tblGrid>
      <w:tr>
        <w:tc>
          <w:tcPr>
            <w:tcW w:w="2016" w:type="dxa"/>
            <w:shd w:val="clear" w:color="auto" w:fill="1A538E"/>
          </w:tcPr>
          <w:p w14:paraId="00100074" w14:textId="00100075">
            <w:pPr>
              <w:jc w:val="center"/>
            </w:pPr>
            <w:r>
              <w:rPr>
                <w:b/>
                <w:color w:val="FFFFFF"/>
                <w:sz w:val="20"/>
              </w:rPr>
              <w:t>Library</w:t>
            </w:r>
          </w:p>
        </w:tc>
        <w:tc>
          <w:tcPr>
            <w:tcW w:w="1152" w:type="dxa"/>
            <w:shd w:val="clear" w:color="auto" w:fill="1A538E"/>
          </w:tcPr>
          <w:p w14:paraId="00100076" w14:textId="00100077">
            <w:pPr>
              <w:jc w:val="center"/>
            </w:pPr>
            <w:r>
              <w:rPr>
                <w:b/>
                <w:color w:val="FFFFFF"/>
                <w:sz w:val="20"/>
              </w:rPr>
              <w:t>Version</w:t>
            </w:r>
          </w:p>
        </w:tc>
        <w:tc>
          <w:tcPr>
            <w:tcW w:w="5760" w:type="dxa"/>
            <w:shd w:val="clear" w:color="auto" w:fill="1A538E"/>
          </w:tcPr>
          <w:p w14:paraId="00100078" w14:textId="00100079">
            <w:pPr>
              <w:jc w:val="center"/>
            </w:pPr>
            <w:r>
              <w:rPr>
                <w:b/>
                <w:color w:val="FFFFFF"/>
                <w:sz w:val="20"/>
              </w:rPr>
              <w:t>Role in Project</w:t>
            </w:r>
          </w:p>
        </w:tc>
      </w:tr>
      <w:tr>
        <w:tc>
          <w:tcPr>
            <w:tcW w:w="2016" w:type="dxa"/>
            <w:shd w:val="clear" w:color="auto" w:fill="F0F4FA"/>
          </w:tcPr>
          <w:p w14:paraId="0010007A" w14:textId="0010007B">
            <w:pPr>
              <w:jc w:val="center"/>
            </w:pPr>
            <w:r>
              <w:rPr>
                <w:sz w:val="20"/>
              </w:rPr>
              <w:t>pandas</w:t>
            </w:r>
          </w:p>
        </w:tc>
        <w:tc>
          <w:tcPr>
            <w:tcW w:w="1152" w:type="dxa"/>
            <w:shd w:val="clear" w:color="auto" w:fill="F0F4FA"/>
          </w:tcPr>
          <w:p w14:paraId="0010007C" w14:textId="0010007D">
            <w:pPr>
              <w:jc w:val="center"/>
            </w:pPr>
            <w:r>
              <w:rPr>
                <w:sz w:val="20"/>
              </w:rPr>
              <w:t>≥1.5</w:t>
            </w:r>
          </w:p>
        </w:tc>
        <w:tc>
          <w:tcPr>
            <w:tcW w:w="5760" w:type="dxa"/>
            <w:shd w:val="clear" w:color="auto" w:fill="F0F4FA"/>
          </w:tcPr>
          <w:p w14:paraId="0010007E" w14:textId="0010007F">
            <w:pPr>
              <w:jc w:val="center"/>
            </w:pPr>
            <w:r>
              <w:rPr>
                <w:sz w:val="20"/>
              </w:rPr>
              <w:t>Data loading, cleaning, reshaping (wide-to-long melt), aggregation</w:t>
            </w:r>
          </w:p>
        </w:tc>
      </w:tr>
      <w:tr>
        <w:tc>
          <w:tcPr>
            <w:tcW w:w="2016" w:type="dxa"/>
            <w:shd w:val="clear" w:color="auto" w:fill="FFFFFF"/>
          </w:tcPr>
          <w:p w14:paraId="00100080" w14:textId="00100081">
            <w:pPr>
              <w:jc w:val="center"/>
            </w:pPr>
            <w:r>
              <w:rPr>
                <w:sz w:val="20"/>
              </w:rPr>
              <w:t>numpy</w:t>
            </w:r>
          </w:p>
        </w:tc>
        <w:tc>
          <w:tcPr>
            <w:tcW w:w="1152" w:type="dxa"/>
            <w:shd w:val="clear" w:color="auto" w:fill="FFFFFF"/>
          </w:tcPr>
          <w:p w14:paraId="00100082" w14:textId="00100083">
            <w:pPr>
              <w:jc w:val="center"/>
            </w:pPr>
            <w:r>
              <w:rPr>
                <w:sz w:val="20"/>
              </w:rPr>
              <w:t>≥1.23</w:t>
            </w:r>
          </w:p>
        </w:tc>
        <w:tc>
          <w:tcPr>
            <w:tcW w:w="5760" w:type="dxa"/>
            <w:shd w:val="clear" w:color="auto" w:fill="FFFFFF"/>
          </w:tcPr>
          <w:p w14:paraId="00100084" w14:textId="00100085">
            <w:pPr>
              <w:jc w:val="center"/>
            </w:pPr>
            <w:r>
              <w:rPr>
                <w:sz w:val="20"/>
              </w:rPr>
              <w:t>Numerical operations, IQR fence calculations</w:t>
            </w:r>
          </w:p>
        </w:tc>
      </w:tr>
      <w:tr>
        <w:tc>
          <w:tcPr>
            <w:tcW w:w="2016" w:type="dxa"/>
            <w:shd w:val="clear" w:color="auto" w:fill="F0F4FA"/>
          </w:tcPr>
          <w:p w14:paraId="00100086" w14:textId="00100087">
            <w:pPr>
              <w:jc w:val="center"/>
            </w:pPr>
            <w:r>
              <w:rPr>
                <w:sz w:val="20"/>
              </w:rPr>
              <w:t>plotly</w:t>
            </w:r>
          </w:p>
        </w:tc>
        <w:tc>
          <w:tcPr>
            <w:tcW w:w="1152" w:type="dxa"/>
            <w:shd w:val="clear" w:color="auto" w:fill="F0F4FA"/>
          </w:tcPr>
          <w:p w14:paraId="00100088" w14:textId="00100089">
            <w:pPr>
              <w:jc w:val="center"/>
            </w:pPr>
            <w:r>
              <w:rPr>
                <w:sz w:val="20"/>
              </w:rPr>
              <w:t>≥5.x</w:t>
            </w:r>
          </w:p>
        </w:tc>
        <w:tc>
          <w:tcPr>
            <w:tcW w:w="5760" w:type="dxa"/>
            <w:shd w:val="clear" w:color="auto" w:fill="F0F4FA"/>
          </w:tcPr>
          <w:p w14:paraId="0010008A" w14:textId="0010008B">
            <w:pPr>
              <w:jc w:val="center"/>
            </w:pPr>
            <w:r>
              <w:rPr>
                <w:sz w:val="20"/>
              </w:rPr>
              <w:t>All interactive charts: line, bar, scatter, horizontal bar</w:t>
            </w:r>
          </w:p>
        </w:tc>
      </w:tr>
      <w:tr>
        <w:tc>
          <w:tcPr>
            <w:tcW w:w="2016" w:type="dxa"/>
            <w:shd w:val="clear" w:color="auto" w:fill="FFFFFF"/>
          </w:tcPr>
          <w:p w14:paraId="0010008C" w14:textId="0010008D">
            <w:pPr>
              <w:jc w:val="center"/>
            </w:pPr>
            <w:r>
              <w:rPr>
                <w:sz w:val="20"/>
              </w:rPr>
              <w:t>streamlit</w:t>
            </w:r>
          </w:p>
        </w:tc>
        <w:tc>
          <w:tcPr>
            <w:tcW w:w="1152" w:type="dxa"/>
            <w:shd w:val="clear" w:color="auto" w:fill="FFFFFF"/>
          </w:tcPr>
          <w:p w14:paraId="0010008E" w14:textId="0010008F">
            <w:pPr>
              <w:jc w:val="center"/>
            </w:pPr>
            <w:r>
              <w:rPr>
                <w:sz w:val="20"/>
              </w:rPr>
              <w:t>≥1.25</w:t>
            </w:r>
          </w:p>
        </w:tc>
        <w:tc>
          <w:tcPr>
            <w:tcW w:w="5760" w:type="dxa"/>
            <w:shd w:val="clear" w:color="auto" w:fill="FFFFFF"/>
          </w:tcPr>
          <w:p w14:paraId="00100090" w14:textId="00100091">
            <w:pPr>
              <w:jc w:val="center"/>
            </w:pPr>
            <w:r>
              <w:rPr>
                <w:sz w:val="20"/>
              </w:rPr>
              <w:t>Web dashboard framework, KPI cards, widgets, session state</w:t>
            </w:r>
          </w:p>
        </w:tc>
      </w:tr>
      <w:tr>
        <w:tc>
          <w:tcPr>
            <w:tcW w:w="2016" w:type="dxa"/>
            <w:shd w:val="clear" w:color="auto" w:fill="F0F4FA"/>
          </w:tcPr>
          <w:p w14:paraId="00100092" w14:textId="00100093">
            <w:pPr>
              <w:jc w:val="center"/>
            </w:pPr>
            <w:r>
              <w:rPr>
                <w:sz w:val="20"/>
              </w:rPr>
              <w:t>statsmodels</w:t>
            </w:r>
          </w:p>
        </w:tc>
        <w:tc>
          <w:tcPr>
            <w:tcW w:w="1152" w:type="dxa"/>
            <w:shd w:val="clear" w:color="auto" w:fill="F0F4FA"/>
          </w:tcPr>
          <w:p w14:paraId="00100094" w14:textId="00100095">
            <w:pPr>
              <w:jc w:val="center"/>
            </w:pPr>
            <w:r>
              <w:rPr>
                <w:sz w:val="20"/>
              </w:rPr>
              <w:t>≥0.14</w:t>
            </w:r>
          </w:p>
        </w:tc>
        <w:tc>
          <w:tcPr>
            <w:tcW w:w="5760" w:type="dxa"/>
            <w:shd w:val="clear" w:color="auto" w:fill="F0F4FA"/>
          </w:tcPr>
          <w:p w14:paraId="00100096" w14:textId="00100097">
            <w:pPr>
              <w:jc w:val="center"/>
            </w:pPr>
            <w:r>
              <w:rPr>
                <w:sz w:val="20"/>
              </w:rPr>
              <w:t>ExponentialSmoothing (Holt-Winters) for forecasting</w:t>
            </w:r>
          </w:p>
        </w:tc>
      </w:tr>
    </w:tbl>
    <w:p w14:paraId="00100098" w14:textId="00100099">
      <w:pPr>
        <w:spacing w:after="120"/>
      </w:pPr>
    </w:p>
    <w:p w14:paraId="0010009A" w14:textId="0010049C">
      <w:pPr>
        <w:spacing w:before="0" w:after="80"/>
      </w:pPr>
      <w:r>
        <w:rPr>
          <w:b w:val="0"/>
          <w:sz w:val="21"/>
        </w:rPr>
        <w:t xml:space="preserve">All code resides in a single file — Magham_kalyani_India_Electricity_Analysis.py (~1,500 lines). No additional Python modules or helper scripts are used.</w:t>
      </w:r>
    </w:p>
    <w:p w14:paraId="0010009C" w14:textId="0010009D">
      <w:pPr>
        <w:spacing w:before="80" w:after="80"/>
        <w:pBdr>
          <w:bottom w:val="single" w:color="CCCCCC" w:sz="4" w:space="1"/>
        </w:pBdr>
      </w:pPr>
    </w:p>
    <w:p w14:paraId="0010009E" w14:textId="0010009F">
      <w:pPr>
        <w:pStyle w:val="Heading1"/>
      </w:pPr>
      <w:r>
        <w:rPr>
          <w:b/>
          <w:color w:val="1A538E"/>
          <w:sz w:val="28"/>
        </w:rPr>
        <w:t>6. Data Cleaning and Preprocessing</w:t>
      </w:r>
    </w:p>
    <w:p w14:paraId="001000A0" w14:textId="001000A1">
      <w:pPr>
        <w:pStyle w:val="ListBullet"/>
        <w:spacing w:after="80"/>
      </w:pPr>
      <w:r>
        <w:rPr>
          <w:b/>
          <w:sz w:val="21"/>
        </w:rPr>
        <w:t xml:space="preserve">Step 1 — CSV Loading — </w:t>
      </w:r>
      <w:r>
        <w:rPr>
          <w:sz w:val="21"/>
        </w:rPr>
        <w:t>Loaded with pandas (index_col=0 absorbs the unnamed row-index column).</w:t>
      </w:r>
    </w:p>
    <w:p w14:paraId="001000A2" w14:textId="001000A3">
      <w:pPr>
        <w:pStyle w:val="ListBullet"/>
        <w:spacing w:after="80"/>
      </w:pPr>
      <w:r>
        <w:rPr>
          <w:b/>
          <w:sz w:val="21"/>
        </w:rPr>
        <w:t xml:space="preserve">Step 2 — Date Parsing — </w:t>
      </w:r>
      <w:r>
        <w:rPr>
          <w:sz w:val="21"/>
        </w:rPr>
        <w:t>Dates column converted to datetime (errors='coerce'). All 3,707 parsed with zero NaT values.</w:t>
      </w:r>
    </w:p>
    <w:p w14:paraId="001000A4" w14:textId="001000A5">
      <w:pPr>
        <w:pStyle w:val="ListBullet"/>
        <w:spacing w:after="80"/>
      </w:pPr>
      <w:r>
        <w:rPr>
          <w:b/>
          <w:sz w:val="21"/>
        </w:rPr>
        <w:t xml:space="preserve">Step 3 — Chronological Sort — </w:t>
      </w:r>
      <w:r>
        <w:rPr>
          <w:sz w:val="21"/>
        </w:rPr>
        <w:t>Rows sorted by date; integer index reset.</w:t>
      </w:r>
    </w:p>
    <w:p w14:paraId="001000A6" w14:textId="001000A7">
      <w:pPr>
        <w:pStyle w:val="ListBullet"/>
        <w:spacing w:after="80"/>
      </w:pPr>
      <w:r>
        <w:rPr>
          <w:b/>
          <w:sz w:val="21"/>
        </w:rPr>
        <w:t xml:space="preserve">Step 4 — Numeric Conversion — </w:t>
      </w:r>
      <w:r>
        <w:rPr>
          <w:sz w:val="21"/>
        </w:rPr>
        <w:t>All 36 entity columns and Total Consumption converted to float64 (errors='coerce' → NaN on non-numeric).</w:t>
      </w:r>
    </w:p>
    <w:p w14:paraId="001000A8" w14:textId="001000A9">
      <w:pPr>
        <w:pStyle w:val="ListBullet"/>
        <w:spacing w:after="80"/>
      </w:pPr>
      <w:r>
        <w:rPr>
          <w:b/>
          <w:sz w:val="21"/>
        </w:rPr>
        <w:t xml:space="preserve">Step 5 — Total Recalculation — </w:t>
      </w:r>
      <w:r>
        <w:rPr>
          <w:sz w:val="21"/>
        </w:rPr>
        <w:t>6 missing Total Consumption values (April 2023) recalculated as row-wise sum of entity columns (skipna=True).</w:t>
      </w:r>
    </w:p>
    <w:p w14:paraId="001000AA" w14:textId="001000AB">
      <w:pPr>
        <w:pStyle w:val="ListBullet"/>
        <w:spacing w:after="80"/>
      </w:pPr>
      <w:r>
        <w:rPr>
          <w:b/>
          <w:sz w:val="21"/>
        </w:rPr>
        <w:t xml:space="preserve">Step 6 — Rounding — </w:t>
      </w:r>
      <w:r>
        <w:rPr>
          <w:sz w:val="21"/>
        </w:rPr>
        <w:t>Total Consumption rounded to 2 decimal places to remove floating-point artefacts.</w:t>
      </w:r>
    </w:p>
    <w:p w14:paraId="001000AC" w14:textId="001000AD">
      <w:pPr>
        <w:pStyle w:val="ListBullet"/>
        <w:spacing w:after="80"/>
      </w:pPr>
      <w:r>
        <w:rPr>
          <w:b/>
          <w:sz w:val="21"/>
        </w:rPr>
        <w:t xml:space="preserve">Step 7 — NaN Preservation — </w:t>
      </w:r>
      <w:r>
        <w:rPr>
          <w:sz w:val="21"/>
        </w:rPr>
        <w:t>Pondy, Tripura, DNH, DD, Essar Steel, Meghalaya NaN values intentionally kept. Zero-filling would be analytically incorrect.</w:t>
      </w:r>
    </w:p>
    <w:p w14:paraId="001000AE" w14:textId="001000AF">
      <w:pPr>
        <w:pStyle w:val="ListBullet"/>
        <w:spacing w:after="80"/>
      </w:pPr>
      <w:r>
        <w:rPr>
          <w:b/>
          <w:sz w:val="21"/>
        </w:rPr>
        <w:t xml:space="preserve">Step 8 — Long-Format Reshape — </w:t>
      </w:r>
      <w:r>
        <w:rPr>
          <w:sz w:val="21"/>
        </w:rPr>
        <w:t>Wide DataFrame (3,707 × 38) melted into long format (126,038 × 3: Dates, State, Consumption). DVC and Essar Steel excluded.</w:t>
      </w:r>
    </w:p>
    <w:p w14:paraId="001000B0" w14:textId="001000B1"/>
    <w:tbl>
      <w:tblPr>
        <w:tblStyle w:val="TableGrid"/>
        <w:tblW w:w="0" w:type="auto"/>
        <w:jc w:val="center"/>
        <w:tblLook w:val="04A0" w:firstRow="1" w:lastRow="0" w:firstColumn="1" w:lastColumn="0" w:noHBand="0" w:noVBand="1"/>
      </w:tblPr>
      <w:tblGrid>
        <w:gridCol w:w="2351"/>
        <w:gridCol w:w="2351"/>
        <w:gridCol w:w="2351"/>
        <w:gridCol w:w="2351"/>
      </w:tblGrid>
      <w:tr>
        <w:tc>
          <w:tcPr>
            <w:tcW w:w="2160" w:type="dxa"/>
            <w:shd w:val="clear" w:color="auto" w:fill="1A538E"/>
          </w:tcPr>
          <w:p w14:paraId="001000B2" w14:textId="001000B3">
            <w:pPr>
              <w:jc w:val="center"/>
            </w:pPr>
            <w:r>
              <w:rPr>
                <w:b/>
                <w:color w:val="FFFFFF"/>
                <w:sz w:val="20"/>
              </w:rPr>
              <w:t>Shape</w:t>
            </w:r>
          </w:p>
        </w:tc>
        <w:tc>
          <w:tcPr>
            <w:tcW w:w="1296" w:type="dxa"/>
            <w:shd w:val="clear" w:color="auto" w:fill="1A538E"/>
          </w:tcPr>
          <w:p w14:paraId="001000B4" w14:textId="001000B5">
            <w:pPr>
              <w:jc w:val="center"/>
            </w:pPr>
            <w:r>
              <w:rPr>
                <w:b/>
                <w:color w:val="FFFFFF"/>
                <w:sz w:val="20"/>
              </w:rPr>
              <w:t>Rows</w:t>
            </w:r>
          </w:p>
        </w:tc>
        <w:tc>
          <w:tcPr>
            <w:tcW w:w="1440" w:type="dxa"/>
            <w:shd w:val="clear" w:color="auto" w:fill="1A538E"/>
          </w:tcPr>
          <w:p w14:paraId="001000B6" w14:textId="001000B7">
            <w:pPr>
              <w:jc w:val="center"/>
            </w:pPr>
            <w:r>
              <w:rPr>
                <w:b/>
                <w:color w:val="FFFFFF"/>
                <w:sz w:val="20"/>
              </w:rPr>
              <w:t>Columns</w:t>
            </w:r>
          </w:p>
        </w:tc>
        <w:tc>
          <w:tcPr>
            <w:tcW w:w="5472" w:type="dxa"/>
            <w:shd w:val="clear" w:color="auto" w:fill="1A538E"/>
          </w:tcPr>
          <w:p w14:paraId="001000B8" w14:textId="001000B9">
            <w:pPr>
              <w:jc w:val="center"/>
            </w:pPr>
            <w:r>
              <w:rPr>
                <w:b/>
                <w:color w:val="FFFFFF"/>
                <w:sz w:val="20"/>
              </w:rPr>
              <w:t>Description</w:t>
            </w:r>
          </w:p>
        </w:tc>
      </w:tr>
      <w:tr>
        <w:tc>
          <w:tcPr>
            <w:tcW w:w="2160" w:type="dxa"/>
            <w:shd w:val="clear" w:color="auto" w:fill="F0F4FA"/>
          </w:tcPr>
          <w:p w14:paraId="001000BA" w14:textId="001000BB">
            <w:pPr>
              <w:jc w:val="center"/>
            </w:pPr>
            <w:r>
              <w:rPr>
                <w:sz w:val="20"/>
              </w:rPr>
              <w:t>Cleaned (wide)</w:t>
            </w:r>
          </w:p>
        </w:tc>
        <w:tc>
          <w:tcPr>
            <w:tcW w:w="1296" w:type="dxa"/>
            <w:shd w:val="clear" w:color="auto" w:fill="F0F4FA"/>
          </w:tcPr>
          <w:p w14:paraId="001000BC" w14:textId="001000BD">
            <w:pPr>
              <w:jc w:val="center"/>
            </w:pPr>
            <w:r>
              <w:rPr>
                <w:sz w:val="20"/>
              </w:rPr>
              <w:t>3,707</w:t>
            </w:r>
          </w:p>
        </w:tc>
        <w:tc>
          <w:tcPr>
            <w:tcW w:w="1440" w:type="dxa"/>
            <w:shd w:val="clear" w:color="auto" w:fill="F0F4FA"/>
          </w:tcPr>
          <w:p w14:paraId="001000BE" w14:textId="001000BF">
            <w:pPr>
              <w:jc w:val="center"/>
            </w:pPr>
            <w:r>
              <w:rPr>
                <w:sz w:val="20"/>
              </w:rPr>
              <w:t>38</w:t>
            </w:r>
          </w:p>
        </w:tc>
        <w:tc>
          <w:tcPr>
            <w:tcW w:w="5472" w:type="dxa"/>
            <w:shd w:val="clear" w:color="auto" w:fill="F0F4FA"/>
          </w:tcPr>
          <w:p w14:paraId="001000C0" w14:textId="001000C1">
            <w:pPr>
              <w:jc w:val="center"/>
            </w:pPr>
            <w:r>
              <w:rPr>
                <w:sz w:val="20"/>
              </w:rPr>
              <w:t>Dates + 36 entity columns + Total Consumption</w:t>
            </w:r>
          </w:p>
        </w:tc>
      </w:tr>
      <w:tr>
        <w:tc>
          <w:tcPr>
            <w:tcW w:w="2160" w:type="dxa"/>
            <w:shd w:val="clear" w:color="auto" w:fill="FFFFFF"/>
          </w:tcPr>
          <w:p w14:paraId="001000C2" w14:textId="001000C3">
            <w:pPr>
              <w:jc w:val="center"/>
            </w:pPr>
            <w:r>
              <w:rPr>
                <w:sz w:val="20"/>
              </w:rPr>
              <w:t>Long-format</w:t>
            </w:r>
          </w:p>
        </w:tc>
        <w:tc>
          <w:tcPr>
            <w:tcW w:w="1296" w:type="dxa"/>
            <w:shd w:val="clear" w:color="auto" w:fill="FFFFFF"/>
          </w:tcPr>
          <w:p w14:paraId="001000C4" w14:textId="001000C5">
            <w:pPr>
              <w:jc w:val="center"/>
            </w:pPr>
            <w:r>
              <w:rPr>
                <w:sz w:val="20"/>
              </w:rPr>
              <w:t>126,038</w:t>
            </w:r>
          </w:p>
        </w:tc>
        <w:tc>
          <w:tcPr>
            <w:tcW w:w="1440" w:type="dxa"/>
            <w:shd w:val="clear" w:color="auto" w:fill="FFFFFF"/>
          </w:tcPr>
          <w:p w14:paraId="001000C6" w14:textId="001000C7">
            <w:pPr>
              <w:jc w:val="center"/>
            </w:pPr>
            <w:r>
              <w:rPr>
                <w:sz w:val="20"/>
              </w:rPr>
              <w:t>3</w:t>
            </w:r>
          </w:p>
        </w:tc>
        <w:tc>
          <w:tcPr>
            <w:tcW w:w="5472" w:type="dxa"/>
            <w:shd w:val="clear" w:color="auto" w:fill="FFFFFF"/>
          </w:tcPr>
          <w:p w14:paraId="001000C8" w14:textId="001000C9">
            <w:pPr>
              <w:jc w:val="center"/>
            </w:pPr>
            <w:r>
              <w:rPr>
                <w:sz w:val="20"/>
              </w:rPr>
              <w:t>Dates | State | Consumption  (34 entities × 3,707 dates)</w:t>
            </w:r>
          </w:p>
        </w:tc>
      </w:tr>
    </w:tbl>
    <w:p w14:paraId="001000CA" w14:textId="001000CB">
      <w:pPr>
        <w:spacing w:after="120"/>
      </w:pPr>
    </w:p>
    <w:tbl>
      <w:tblPr>
        <w:tblStyle w:val="TableGrid"/>
        <w:tblW w:w="0" w:type="auto"/>
        <w:jc w:val="center"/>
        <w:tblLook w:val="04A0" w:firstRow="1" w:lastRow="0" w:firstColumn="1" w:lastColumn="0" w:noHBand="0" w:noVBand="1"/>
      </w:tblPr>
      <w:tblGrid>
        <w:gridCol w:w="2351"/>
        <w:gridCol w:w="2351"/>
        <w:gridCol w:w="2351"/>
        <w:gridCol w:w="2351"/>
      </w:tblGrid>
      <w:tr>
        <w:tc>
          <w:tcPr>
            <w:tcW w:w="2160" w:type="dxa"/>
            <w:shd w:val="clear" w:color="auto" w:fill="1A538E"/>
          </w:tcPr>
          <w:p w14:paraId="001000CC" w14:textId="001000CD">
            <w:pPr>
              <w:jc w:val="center"/>
            </w:pPr>
            <w:r>
              <w:rPr>
                <w:b/>
                <w:color w:val="FFFFFF"/>
                <w:sz w:val="20"/>
              </w:rPr>
              <w:t>Column</w:t>
            </w:r>
          </w:p>
        </w:tc>
        <w:tc>
          <w:tcPr>
            <w:tcW w:w="2016" w:type="dxa"/>
            <w:shd w:val="clear" w:color="auto" w:fill="1A538E"/>
          </w:tcPr>
          <w:p w14:paraId="001000CE" w14:textId="001000CF">
            <w:pPr>
              <w:jc w:val="center"/>
            </w:pPr>
            <w:r>
              <w:rPr>
                <w:b/>
                <w:color w:val="FFFFFF"/>
                <w:sz w:val="20"/>
              </w:rPr>
              <w:t>Missing Values</w:t>
            </w:r>
          </w:p>
        </w:tc>
        <w:tc>
          <w:tcPr>
            <w:tcW w:w="1584" w:type="dxa"/>
            <w:shd w:val="clear" w:color="auto" w:fill="1A538E"/>
          </w:tcPr>
          <w:p w14:paraId="001000D0" w14:textId="001000D1">
            <w:pPr>
              <w:jc w:val="center"/>
            </w:pPr>
            <w:r>
              <w:rPr>
                <w:b/>
                <w:color w:val="FFFFFF"/>
                <w:sz w:val="20"/>
              </w:rPr>
              <w:t>% of Rows</w:t>
            </w:r>
          </w:p>
        </w:tc>
        <w:tc>
          <w:tcPr>
            <w:tcW w:w="3888" w:type="dxa"/>
            <w:shd w:val="clear" w:color="auto" w:fill="1A538E"/>
          </w:tcPr>
          <w:p w14:paraId="001000D2" w14:textId="001000D3">
            <w:pPr>
              <w:jc w:val="center"/>
            </w:pPr>
            <w:r>
              <w:rPr>
                <w:b/>
                <w:color w:val="FFFFFF"/>
                <w:sz w:val="20"/>
              </w:rPr>
              <w:t>Action Taken</w:t>
            </w:r>
          </w:p>
        </w:tc>
      </w:tr>
      <w:tr>
        <w:tc>
          <w:tcPr>
            <w:tcW w:w="2160" w:type="dxa"/>
            <w:shd w:val="clear" w:color="auto" w:fill="F0F4FA"/>
          </w:tcPr>
          <w:p w14:paraId="001000D4" w14:textId="001000D5">
            <w:pPr>
              <w:jc w:val="center"/>
            </w:pPr>
            <w:r>
              <w:rPr>
                <w:sz w:val="20"/>
              </w:rPr>
              <w:t>Pondy</w:t>
            </w:r>
          </w:p>
        </w:tc>
        <w:tc>
          <w:tcPr>
            <w:tcW w:w="2016" w:type="dxa"/>
            <w:shd w:val="clear" w:color="auto" w:fill="F0F4FA"/>
          </w:tcPr>
          <w:p w14:paraId="001000D6" w14:textId="001000D7">
            <w:pPr>
              <w:jc w:val="center"/>
            </w:pPr>
            <w:r>
              <w:rPr>
                <w:sz w:val="20"/>
              </w:rPr>
              <w:t>2,078</w:t>
            </w:r>
          </w:p>
        </w:tc>
        <w:tc>
          <w:tcPr>
            <w:tcW w:w="1584" w:type="dxa"/>
            <w:shd w:val="clear" w:color="auto" w:fill="F0F4FA"/>
          </w:tcPr>
          <w:p w14:paraId="001000D8" w14:textId="001000D9">
            <w:pPr>
              <w:jc w:val="center"/>
            </w:pPr>
            <w:r>
              <w:rPr>
                <w:sz w:val="20"/>
              </w:rPr>
              <w:t>56.1%</w:t>
            </w:r>
          </w:p>
        </w:tc>
        <w:tc>
          <w:tcPr>
            <w:tcW w:w="3888" w:type="dxa"/>
            <w:shd w:val="clear" w:color="auto" w:fill="F0F4FA"/>
          </w:tcPr>
          <w:p w14:paraId="001000DA" w14:textId="001000DB">
            <w:pPr>
              <w:jc w:val="center"/>
            </w:pPr>
            <w:r>
              <w:rPr>
                <w:sz w:val="20"/>
              </w:rPr>
              <w:t>Preserved as NaN</w:t>
            </w:r>
          </w:p>
        </w:tc>
      </w:tr>
      <w:tr>
        <w:tc>
          <w:tcPr>
            <w:tcW w:w="2160" w:type="dxa"/>
            <w:shd w:val="clear" w:color="auto" w:fill="FFFFFF"/>
          </w:tcPr>
          <w:p w14:paraId="001000DC" w14:textId="001000DD">
            <w:pPr>
              <w:jc w:val="center"/>
            </w:pPr>
            <w:r>
              <w:rPr>
                <w:sz w:val="20"/>
              </w:rPr>
              <w:t>Tripura</w:t>
            </w:r>
          </w:p>
        </w:tc>
        <w:tc>
          <w:tcPr>
            <w:tcW w:w="2016" w:type="dxa"/>
            <w:shd w:val="clear" w:color="auto" w:fill="FFFFFF"/>
          </w:tcPr>
          <w:p w14:paraId="001000DE" w14:textId="001000DF">
            <w:pPr>
              <w:jc w:val="center"/>
            </w:pPr>
            <w:r>
              <w:rPr>
                <w:sz w:val="20"/>
              </w:rPr>
              <w:t>1,742</w:t>
            </w:r>
          </w:p>
        </w:tc>
        <w:tc>
          <w:tcPr>
            <w:tcW w:w="1584" w:type="dxa"/>
            <w:shd w:val="clear" w:color="auto" w:fill="FFFFFF"/>
          </w:tcPr>
          <w:p w14:paraId="001000E0" w14:textId="001000E1">
            <w:pPr>
              <w:jc w:val="center"/>
            </w:pPr>
            <w:r>
              <w:rPr>
                <w:sz w:val="20"/>
              </w:rPr>
              <w:t>47.0%</w:t>
            </w:r>
          </w:p>
        </w:tc>
        <w:tc>
          <w:tcPr>
            <w:tcW w:w="3888" w:type="dxa"/>
            <w:shd w:val="clear" w:color="auto" w:fill="FFFFFF"/>
          </w:tcPr>
          <w:p w14:paraId="001000E2" w14:textId="001000E3">
            <w:pPr>
              <w:jc w:val="center"/>
            </w:pPr>
            <w:r>
              <w:rPr>
                <w:sz w:val="20"/>
              </w:rPr>
              <w:t>Preserved as NaN</w:t>
            </w:r>
          </w:p>
        </w:tc>
      </w:tr>
      <w:tr>
        <w:tc>
          <w:tcPr>
            <w:tcW w:w="2160" w:type="dxa"/>
            <w:shd w:val="clear" w:color="auto" w:fill="F0F4FA"/>
          </w:tcPr>
          <w:p w14:paraId="001000E4" w14:textId="001000E5">
            <w:pPr>
              <w:jc w:val="center"/>
            </w:pPr>
            <w:r>
              <w:rPr>
                <w:sz w:val="20"/>
              </w:rPr>
              <w:t>DNH</w:t>
            </w:r>
          </w:p>
        </w:tc>
        <w:tc>
          <w:tcPr>
            <w:tcW w:w="2016" w:type="dxa"/>
            <w:shd w:val="clear" w:color="auto" w:fill="F0F4FA"/>
          </w:tcPr>
          <w:p w14:paraId="001000E6" w14:textId="001000E7">
            <w:pPr>
              <w:jc w:val="center"/>
            </w:pPr>
            <w:r>
              <w:rPr>
                <w:sz w:val="20"/>
              </w:rPr>
              <w:t>712</w:t>
            </w:r>
          </w:p>
        </w:tc>
        <w:tc>
          <w:tcPr>
            <w:tcW w:w="1584" w:type="dxa"/>
            <w:shd w:val="clear" w:color="auto" w:fill="F0F4FA"/>
          </w:tcPr>
          <w:p w14:paraId="001000E8" w14:textId="001000E9">
            <w:pPr>
              <w:jc w:val="center"/>
            </w:pPr>
            <w:r>
              <w:rPr>
                <w:sz w:val="20"/>
              </w:rPr>
              <w:t>19.2%</w:t>
            </w:r>
          </w:p>
        </w:tc>
        <w:tc>
          <w:tcPr>
            <w:tcW w:w="3888" w:type="dxa"/>
            <w:shd w:val="clear" w:color="auto" w:fill="F0F4FA"/>
          </w:tcPr>
          <w:p w14:paraId="001000EA" w14:textId="001000EB">
            <w:pPr>
              <w:jc w:val="center"/>
            </w:pPr>
            <w:r>
              <w:rPr>
                <w:sz w:val="20"/>
              </w:rPr>
              <w:t>Preserved as NaN</w:t>
            </w:r>
          </w:p>
        </w:tc>
      </w:tr>
      <w:tr>
        <w:tc>
          <w:tcPr>
            <w:tcW w:w="2160" w:type="dxa"/>
            <w:shd w:val="clear" w:color="auto" w:fill="FFFFFF"/>
          </w:tcPr>
          <w:p w14:paraId="001000EC" w14:textId="001000ED">
            <w:pPr>
              <w:jc w:val="center"/>
            </w:pPr>
            <w:r>
              <w:rPr>
                <w:sz w:val="20"/>
              </w:rPr>
              <w:t>DD</w:t>
            </w:r>
          </w:p>
        </w:tc>
        <w:tc>
          <w:tcPr>
            <w:tcW w:w="2016" w:type="dxa"/>
            <w:shd w:val="clear" w:color="auto" w:fill="FFFFFF"/>
          </w:tcPr>
          <w:p w14:paraId="001000EE" w14:textId="001000EF">
            <w:pPr>
              <w:jc w:val="center"/>
            </w:pPr>
            <w:r>
              <w:rPr>
                <w:sz w:val="20"/>
              </w:rPr>
              <w:t>707</w:t>
            </w:r>
          </w:p>
        </w:tc>
        <w:tc>
          <w:tcPr>
            <w:tcW w:w="1584" w:type="dxa"/>
            <w:shd w:val="clear" w:color="auto" w:fill="FFFFFF"/>
          </w:tcPr>
          <w:p w14:paraId="001000F0" w14:textId="001000F1">
            <w:pPr>
              <w:jc w:val="center"/>
            </w:pPr>
            <w:r>
              <w:rPr>
                <w:sz w:val="20"/>
              </w:rPr>
              <w:t>19.1%</w:t>
            </w:r>
          </w:p>
        </w:tc>
        <w:tc>
          <w:tcPr>
            <w:tcW w:w="3888" w:type="dxa"/>
            <w:shd w:val="clear" w:color="auto" w:fill="FFFFFF"/>
          </w:tcPr>
          <w:p w14:paraId="001000F2" w14:textId="001000F3">
            <w:pPr>
              <w:jc w:val="center"/>
            </w:pPr>
            <w:r>
              <w:rPr>
                <w:sz w:val="20"/>
              </w:rPr>
              <w:t>Preserved as NaN</w:t>
            </w:r>
          </w:p>
        </w:tc>
      </w:tr>
      <w:tr>
        <w:tc>
          <w:tcPr>
            <w:tcW w:w="2160" w:type="dxa"/>
            <w:shd w:val="clear" w:color="auto" w:fill="F0F4FA"/>
          </w:tcPr>
          <w:p w14:paraId="001000F4" w14:textId="001000F5">
            <w:pPr>
              <w:jc w:val="center"/>
            </w:pPr>
            <w:r>
              <w:rPr>
                <w:sz w:val="20"/>
              </w:rPr>
              <w:t>Essar steel</w:t>
            </w:r>
          </w:p>
        </w:tc>
        <w:tc>
          <w:tcPr>
            <w:tcW w:w="2016" w:type="dxa"/>
            <w:shd w:val="clear" w:color="auto" w:fill="F0F4FA"/>
          </w:tcPr>
          <w:p w14:paraId="001000F6" w14:textId="001000F7">
            <w:pPr>
              <w:jc w:val="center"/>
            </w:pPr>
            <w:r>
              <w:rPr>
                <w:sz w:val="20"/>
              </w:rPr>
              <w:t>532</w:t>
            </w:r>
          </w:p>
        </w:tc>
        <w:tc>
          <w:tcPr>
            <w:tcW w:w="1584" w:type="dxa"/>
            <w:shd w:val="clear" w:color="auto" w:fill="F0F4FA"/>
          </w:tcPr>
          <w:p w14:paraId="001000F8" w14:textId="001000F9">
            <w:pPr>
              <w:jc w:val="center"/>
            </w:pPr>
            <w:r>
              <w:rPr>
                <w:sz w:val="20"/>
              </w:rPr>
              <w:t>14.4%</w:t>
            </w:r>
          </w:p>
        </w:tc>
        <w:tc>
          <w:tcPr>
            <w:tcW w:w="3888" w:type="dxa"/>
            <w:shd w:val="clear" w:color="auto" w:fill="F0F4FA"/>
          </w:tcPr>
          <w:p w14:paraId="001000FA" w14:textId="001000FB">
            <w:pPr>
              <w:jc w:val="center"/>
            </w:pPr>
            <w:r>
              <w:rPr>
                <w:sz w:val="20"/>
              </w:rPr>
              <w:t>Preserved as NaN</w:t>
            </w:r>
          </w:p>
        </w:tc>
      </w:tr>
      <w:tr>
        <w:tc>
          <w:tcPr>
            <w:tcW w:w="2160" w:type="dxa"/>
            <w:shd w:val="clear" w:color="auto" w:fill="FFFFFF"/>
          </w:tcPr>
          <w:p w14:paraId="001000FC" w14:textId="001000FD">
            <w:pPr>
              <w:jc w:val="center"/>
            </w:pPr>
            <w:r>
              <w:rPr>
                <w:sz w:val="20"/>
              </w:rPr>
              <w:t>Meghalaya</w:t>
            </w:r>
          </w:p>
        </w:tc>
        <w:tc>
          <w:tcPr>
            <w:tcW w:w="2016" w:type="dxa"/>
            <w:shd w:val="clear" w:color="auto" w:fill="FFFFFF"/>
          </w:tcPr>
          <w:p w14:paraId="001000FE" w14:textId="001000FF">
            <w:pPr>
              <w:jc w:val="center"/>
            </w:pPr>
            <w:r>
              <w:rPr>
                <w:sz w:val="20"/>
              </w:rPr>
              <w:t>14</w:t>
            </w:r>
          </w:p>
        </w:tc>
        <w:tc>
          <w:tcPr>
            <w:tcW w:w="1584" w:type="dxa"/>
            <w:shd w:val="clear" w:color="auto" w:fill="FFFFFF"/>
          </w:tcPr>
          <w:p w14:paraId="00100100" w14:textId="00100101">
            <w:pPr>
              <w:jc w:val="center"/>
            </w:pPr>
            <w:r>
              <w:rPr>
                <w:sz w:val="20"/>
              </w:rPr>
              <w:t>0.4%</w:t>
            </w:r>
          </w:p>
        </w:tc>
        <w:tc>
          <w:tcPr>
            <w:tcW w:w="3888" w:type="dxa"/>
            <w:shd w:val="clear" w:color="auto" w:fill="FFFFFF"/>
          </w:tcPr>
          <w:p w14:paraId="00100102" w14:textId="00100103">
            <w:pPr>
              <w:jc w:val="center"/>
            </w:pPr>
            <w:r>
              <w:rPr>
                <w:sz w:val="20"/>
              </w:rPr>
              <w:t>Preserved as NaN</w:t>
            </w:r>
          </w:p>
        </w:tc>
      </w:tr>
    </w:tbl>
    <w:p w14:paraId="00100104" w14:textId="00100105">
      <w:pPr>
        <w:spacing w:after="120"/>
      </w:pPr>
    </w:p>
    <w:p w14:paraId="00100106" w14:textId="00100107">
      <w:pPr>
        <w:spacing w:before="0" w:after="80"/>
      </w:pPr>
      <w:r>
        <w:rPr>
          <w:b/>
          <w:sz w:val="21"/>
        </w:rPr>
        <w:t>Duplicate rows: 0   |   Duplicate dates: 0   |   Missing calendar dates: 578</w:t>
      </w:r>
    </w:p>
    <w:p w14:paraId="00100108" w14:textId="00100109">
      <w:pPr>
        <w:spacing w:before="80" w:after="80"/>
        <w:pBdr>
          <w:bottom w:val="single" w:color="CCCCCC" w:sz="4" w:space="1"/>
        </w:pBdr>
      </w:pPr>
    </w:p>
    <w:p w14:paraId="0010010A" w14:textId="0010010B">
      <w:pPr>
        <w:pStyle w:val="Heading1"/>
      </w:pPr>
      <w:r>
        <w:rPr>
          <w:b/>
          <w:color w:val="1A538E"/>
          <w:sz w:val="28"/>
        </w:rPr>
        <w:t>7. Exploratory Data Analysis</w:t>
      </w:r>
    </w:p>
    <w:p w14:paraId="0010010C" w14:textId="0010010D">
      <w:pPr>
        <w:spacing w:before="0" w:after="80"/>
      </w:pPr>
      <w:r>
        <w:rPr>
          <w:b w:val="0"/>
          <w:sz w:val="22"/>
        </w:rPr>
        <w:t>Four core visualisations were created to explore the dataset at national level. All charts use Plotly with interactive hover, zoom, and unified hover mode.</w:t>
      </w:r>
    </w:p>
    <w:p w14:paraId="0010010E" w14:textId="0010010F">
      <w:pPr>
        <w:spacing w:before="0" w:after="80"/>
      </w:pPr>
      <w:r>
        <w:rPr>
          <w:b/>
          <w:sz w:val="22"/>
        </w:rPr>
        <w:t>A. Daily Electricity Consumption Trend (2013–2024)</w:t>
      </w:r>
    </w:p>
    <w:p w14:paraId="00100110" w14:textId="00100111">
      <w:pPr>
        <w:spacing w:before="0" w:after="80"/>
      </w:pPr>
      <w:r>
        <w:rPr>
          <w:b w:val="0"/>
          <w:sz w:val="21"/>
        </w:rPr>
        <w:t>Line chart of national Total Consumption across the full date range. Natural gaps appear where calendar dates are absent. The chart is date-range filterable in the dashboard.</w:t>
      </w:r>
    </w:p>
    <w:p w14:paraId="00100112" w14:textId="00100113">
      <w:pPr>
        <w:spacing w:before="120" w:after="40"/>
        <w:jc w:val="center"/>
      </w:pPr>
      <w:r>
        <w:drawing>
          <wp:inline xmlns:a="http://schemas.openxmlformats.org/drawingml/2006/main" xmlns:pic="http://schemas.openxmlformats.org/drawingml/2006/picture">
            <wp:extent cx="5669280" cy="2164634"/>
            <wp:docPr id="2" name="Picture 2"/>
            <wp:cNvGraphicFramePr>
              <a:graphicFrameLocks noChangeAspect="1"/>
            </wp:cNvGraphicFramePr>
            <a:graphic>
              <a:graphicData uri="http://schemas.openxmlformats.org/drawingml/2006/picture">
                <pic:pic>
                  <pic:nvPicPr>
                    <pic:cNvPr id="0" name="fig1_time_series.png"/>
                    <pic:cNvPicPr/>
                  </pic:nvPicPr>
                  <pic:blipFill>
                    <a:blip r:embed="rId10"/>
                    <a:stretch>
                      <a:fillRect/>
                    </a:stretch>
                  </pic:blipFill>
                  <pic:spPr>
                    <a:xfrm>
                      <a:off x="0" y="0"/>
                      <a:ext cx="5669280" cy="2164634"/>
                    </a:xfrm>
                    <a:prstGeom prst="rect"/>
                  </pic:spPr>
                </pic:pic>
              </a:graphicData>
            </a:graphic>
          </wp:inline>
        </w:drawing>
      </w:r>
    </w:p>
    <w:p w14:paraId="00100114" w14:textId="00100115">
      <w:pPr>
        <w:spacing w:after="200"/>
        <w:jc w:val="center"/>
      </w:pPr>
      <w:r>
        <w:rPr>
          <w:i/>
          <w:color w:val="555555"/>
          <w:sz w:val="19"/>
        </w:rPr>
        <w:t>Figure 2 — India Daily Total Electricity Consumption (2013–2024). The long-term upward trend and seasonal oscillations are clearly visible.</w:t>
      </w:r>
    </w:p>
    <w:p w14:paraId="00100116" w14:textId="00100117">
      <w:pPr>
        <w:spacing w:before="0" w:after="80"/>
      </w:pPr>
      <w:r>
        <w:rPr>
          <w:b/>
          <w:sz w:val="22"/>
        </w:rPr>
        <w:t>B. Monthly Consumption Pattern</w:t>
      </w:r>
    </w:p>
    <w:p w14:paraId="00100118" w14:textId="00100119">
      <w:pPr>
        <w:spacing w:before="0" w:after="80"/>
      </w:pPr>
      <w:r>
        <w:rPr>
          <w:b w:val="0"/>
          <w:sz w:val="21"/>
        </w:rPr>
        <w:t>Bar chart of total consumption by calendar month (January–December), aggregated across all years. Reveals within-year seasonal demand patterns.</w:t>
      </w:r>
    </w:p>
    <w:p w14:paraId="0010011A" w14:textId="0010011B">
      <w:pPr>
        <w:spacing w:before="120" w:after="40"/>
        <w:jc w:val="center"/>
      </w:pPr>
      <w:r>
        <w:drawing>
          <wp:inline xmlns:a="http://schemas.openxmlformats.org/drawingml/2006/main" xmlns:pic="http://schemas.openxmlformats.org/drawingml/2006/picture">
            <wp:extent cx="5486400" cy="2304288"/>
            <wp:docPr id="3" name="Picture 3"/>
            <wp:cNvGraphicFramePr>
              <a:graphicFrameLocks noChangeAspect="1"/>
            </wp:cNvGraphicFramePr>
            <a:graphic>
              <a:graphicData uri="http://schemas.openxmlformats.org/drawingml/2006/picture">
                <pic:pic>
                  <pic:nvPicPr>
                    <pic:cNvPr id="0" name="fig2_monthly.png"/>
                    <pic:cNvPicPr/>
                  </pic:nvPicPr>
                  <pic:blipFill>
                    <a:blip r:embed="rId11"/>
                    <a:stretch>
                      <a:fillRect/>
                    </a:stretch>
                  </pic:blipFill>
                  <pic:spPr>
                    <a:xfrm>
                      <a:off x="0" y="0"/>
                      <a:ext cx="5486400" cy="2304288"/>
                    </a:xfrm>
                    <a:prstGeom prst="rect"/>
                  </pic:spPr>
                </pic:pic>
              </a:graphicData>
            </a:graphic>
          </wp:inline>
        </w:drawing>
      </w:r>
    </w:p>
    <w:p w14:paraId="0010011C" w14:textId="0010011D">
      <w:pPr>
        <w:spacing w:after="200"/>
        <w:jc w:val="center"/>
      </w:pPr>
      <w:r>
        <w:rPr>
          <w:i/>
          <w:color w:val="555555"/>
          <w:sz w:val="19"/>
        </w:rPr>
        <w:t>Figure 3 — Total Electricity Consumption by Month (All Years Combined). Higher consumption observed in summer (May–August) and winter (November–January) months.</w:t>
      </w:r>
    </w:p>
    <w:p w14:paraId="0010011E" w14:textId="0010011F">
      <w:pPr>
        <w:spacing w:before="0" w:after="80"/>
      </w:pPr>
      <w:r>
        <w:rPr>
          <w:b/>
          <w:sz w:val="22"/>
        </w:rPr>
        <w:t>C. Yearly Consumption Totals</w:t>
      </w:r>
    </w:p>
    <w:p w14:paraId="00100120" w14:textId="00100121">
      <w:pPr>
        <w:spacing w:before="0" w:after="80"/>
      </w:pPr>
      <w:r>
        <w:rPr>
          <w:b w:val="0"/>
          <w:sz w:val="21"/>
        </w:rPr>
        <w:t>Bar chart of total annual consumption. Partial years (2013*, 2023*, 2024*) are shown in lighter colour and annotated to avoid misleading year-on-year comparisons.</w:t>
      </w:r>
    </w:p>
    <w:p w14:paraId="00100122" w14:textId="00100123">
      <w:pPr>
        <w:spacing w:before="120" w:after="40"/>
        <w:jc w:val="center"/>
      </w:pPr>
      <w:r>
        <w:drawing>
          <wp:inline xmlns:a="http://schemas.openxmlformats.org/drawingml/2006/main" xmlns:pic="http://schemas.openxmlformats.org/drawingml/2006/picture">
            <wp:extent cx="5486400" cy="2304288"/>
            <wp:docPr id="4" name="Picture 4"/>
            <wp:cNvGraphicFramePr>
              <a:graphicFrameLocks noChangeAspect="1"/>
            </wp:cNvGraphicFramePr>
            <a:graphic>
              <a:graphicData uri="http://schemas.openxmlformats.org/drawingml/2006/picture">
                <pic:pic>
                  <pic:nvPicPr>
                    <pic:cNvPr id="0" name="fig3_yearly.png"/>
                    <pic:cNvPicPr/>
                  </pic:nvPicPr>
                  <pic:blipFill>
                    <a:blip r:embed="rId12"/>
                    <a:stretch>
                      <a:fillRect/>
                    </a:stretch>
                  </pic:blipFill>
                  <pic:spPr>
                    <a:xfrm>
                      <a:off x="0" y="0"/>
                      <a:ext cx="5486400" cy="2304288"/>
                    </a:xfrm>
                    <a:prstGeom prst="rect"/>
                  </pic:spPr>
                </pic:pic>
              </a:graphicData>
            </a:graphic>
          </wp:inline>
        </w:drawing>
      </w:r>
    </w:p>
    <w:p w14:paraId="00100124" w14:textId="00100125">
      <w:pPr>
        <w:spacing w:after="200"/>
        <w:jc w:val="center"/>
      </w:pPr>
      <w:r>
        <w:rPr>
          <w:i/>
          <w:color w:val="555555"/>
          <w:sz w:val="19"/>
        </w:rPr>
        <w:t>Figure 4 — Total Electricity Consumption by Year. Partial years (2013*, 2023*, 2024*) are shown in light blue. Complete years show a consistent growth trend.</w:t>
      </w:r>
    </w:p>
    <w:p w14:paraId="00100126" w14:textId="00100127">
      <w:pPr>
        <w:spacing w:before="0" w:after="80"/>
      </w:pPr>
      <w:r>
        <w:rPr>
          <w:b/>
          <w:sz w:val="22"/>
        </w:rPr>
        <w:t>D. Consumption by Geographic Entity</w:t>
      </w:r>
    </w:p>
    <w:p w14:paraId="00100128" w14:textId="00100129">
      <w:pPr>
        <w:spacing w:before="0" w:after="80"/>
      </w:pPr>
      <w:r>
        <w:rPr>
          <w:b w:val="0"/>
          <w:sz w:val="21"/>
        </w:rPr>
        <w:t>Horizontal bar chart ranking all 34 geographic entities by total recorded consumption. Sort order is determined dynamically at runtime from the actual data.</w:t>
      </w:r>
    </w:p>
    <w:p w14:paraId="0010012A" w14:textId="0010012B">
      <w:pPr>
        <w:spacing w:before="120" w:after="40"/>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fig4_state.png"/>
                    <pic:cNvPicPr/>
                  </pic:nvPicPr>
                  <pic:blipFill>
                    <a:blip r:embed="rId13"/>
                    <a:stretch>
                      <a:fillRect/>
                    </a:stretch>
                  </pic:blipFill>
                  <pic:spPr>
                    <a:xfrm>
                      <a:off x="0" y="0"/>
                      <a:ext cx="5486400" cy="3840480"/>
                    </a:xfrm>
                    <a:prstGeom prst="rect"/>
                  </pic:spPr>
                </pic:pic>
              </a:graphicData>
            </a:graphic>
          </wp:inline>
        </w:drawing>
      </w:r>
    </w:p>
    <w:p w14:paraId="0010012C" w14:textId="0010012D">
      <w:pPr>
        <w:spacing w:after="200"/>
        <w:jc w:val="center"/>
      </w:pPr>
      <w:r>
        <w:rPr>
          <w:i/>
          <w:color w:val="555555"/>
          <w:sz w:val="19"/>
        </w:rPr>
        <w:t>Figure 5 — Total Consumption by Geographic Entity (2013–2024). Maharashtra ranks highest; smaller UTs contribute least.</w:t>
      </w:r>
    </w:p>
    <w:p w14:paraId="0010012E" w14:textId="0010012F">
      <w:pPr>
        <w:spacing w:before="80" w:after="80"/>
        <w:pBdr>
          <w:bottom w:val="single" w:color="CCCCCC" w:sz="4" w:space="1"/>
        </w:pBdr>
      </w:pPr>
    </w:p>
    <w:p w14:paraId="00100130" w14:textId="00100131">
      <w:pPr>
        <w:pStyle w:val="Heading1"/>
      </w:pPr>
      <w:r>
        <w:rPr>
          <w:b/>
          <w:color w:val="1A538E"/>
          <w:sz w:val="28"/>
        </w:rPr>
        <w:t>8. Key Descriptive Results / KPIs</w:t>
      </w:r>
    </w:p>
    <w:p w14:paraId="00100132" w14:textId="00100133">
      <w:pPr>
        <w:spacing w:before="0" w:after="80"/>
      </w:pPr>
      <w:r>
        <w:rPr>
          <w:b/>
          <w:sz w:val="22"/>
        </w:rPr>
        <w:t>National-level KPIs computed from the cleaned dataset (2013–2024):</w:t>
      </w:r>
    </w:p>
    <w:tbl>
      <w:tblPr>
        <w:tblStyle w:val="TableGrid"/>
        <w:tblW w:w="0" w:type="auto"/>
        <w:jc w:val="center"/>
        <w:tblLook w:val="04A0" w:firstRow="1" w:lastRow="0" w:firstColumn="1" w:lastColumn="0" w:noHBand="0" w:noVBand="1"/>
      </w:tblPr>
      <w:tblGrid>
        <w:gridCol w:w="4703"/>
        <w:gridCol w:w="4703"/>
      </w:tblGrid>
      <w:tr>
        <w:tc>
          <w:tcPr>
            <w:tcW w:w="4320" w:type="dxa"/>
            <w:shd w:val="clear" w:color="auto" w:fill="EBF3FB"/>
          </w:tcPr>
          <w:p w14:paraId="00100134" w14:textId="00100135">
            <w:r>
              <w:rPr>
                <w:b/>
                <w:sz w:val="21"/>
              </w:rPr>
              <w:t>Total National Consumption (2013–2024)</w:t>
            </w:r>
          </w:p>
        </w:tc>
        <w:tc>
          <w:tcPr>
            <w:tcW w:w="4320" w:type="dxa"/>
            <w:shd w:val="clear" w:color="auto" w:fill="EBF3FB"/>
          </w:tcPr>
          <w:p w14:paraId="00100136" w14:textId="00100137">
            <w:pPr>
              <w:jc w:val="center"/>
            </w:pPr>
            <w:r>
              <w:rPr>
                <w:sz w:val="21"/>
              </w:rPr>
              <w:t>13,185,119.20 MU</w:t>
            </w:r>
          </w:p>
        </w:tc>
      </w:tr>
      <w:tr>
        <w:tc>
          <w:tcPr>
            <w:tcW w:w="4320" w:type="dxa"/>
            <w:shd w:val="clear" w:color="auto" w:fill="FFFFFF"/>
          </w:tcPr>
          <w:p w14:paraId="00100138" w14:textId="00100139">
            <w:r>
              <w:rPr>
                <w:b/>
                <w:sz w:val="21"/>
              </w:rPr>
              <w:t>Average Daily Consumption</w:t>
            </w:r>
          </w:p>
        </w:tc>
        <w:tc>
          <w:tcPr>
            <w:tcW w:w="4320" w:type="dxa"/>
            <w:shd w:val="clear" w:color="auto" w:fill="FFFFFF"/>
          </w:tcPr>
          <w:p w14:paraId="0010013A" w14:textId="0010013B">
            <w:pPr>
              <w:jc w:val="center"/>
            </w:pPr>
            <w:r>
              <w:rPr>
                <w:sz w:val="21"/>
              </w:rPr>
              <w:t>3,556.82 MU</w:t>
            </w:r>
          </w:p>
        </w:tc>
      </w:tr>
      <w:tr>
        <w:tc>
          <w:tcPr>
            <w:tcW w:w="4320" w:type="dxa"/>
            <w:shd w:val="clear" w:color="auto" w:fill="EBF3FB"/>
          </w:tcPr>
          <w:p w14:paraId="0010013C" w14:textId="0010013D">
            <w:r>
              <w:rPr>
                <w:b/>
                <w:sz w:val="21"/>
              </w:rPr>
              <w:t>Peak Consumption Day</w:t>
            </w:r>
          </w:p>
        </w:tc>
        <w:tc>
          <w:tcPr>
            <w:tcW w:w="4320" w:type="dxa"/>
            <w:shd w:val="clear" w:color="auto" w:fill="EBF3FB"/>
          </w:tcPr>
          <w:p w14:paraId="0010013E" w14:textId="0010013F">
            <w:pPr>
              <w:jc w:val="center"/>
            </w:pPr>
            <w:r>
              <w:rPr>
                <w:sz w:val="21"/>
              </w:rPr>
              <w:t>5,460.70 MU  —  2024-05-30</w:t>
            </w:r>
          </w:p>
        </w:tc>
      </w:tr>
      <w:tr>
        <w:tc>
          <w:tcPr>
            <w:tcW w:w="4320" w:type="dxa"/>
            <w:shd w:val="clear" w:color="auto" w:fill="FFFFFF"/>
          </w:tcPr>
          <w:p w14:paraId="00100140" w14:textId="00100141">
            <w:r>
              <w:rPr>
                <w:b/>
                <w:sz w:val="21"/>
              </w:rPr>
              <w:t>Lowest Consumption Day</w:t>
            </w:r>
          </w:p>
        </w:tc>
        <w:tc>
          <w:tcPr>
            <w:tcW w:w="4320" w:type="dxa"/>
            <w:shd w:val="clear" w:color="auto" w:fill="FFFFFF"/>
          </w:tcPr>
          <w:p w14:paraId="00100142" w14:textId="00100143">
            <w:pPr>
              <w:jc w:val="center"/>
            </w:pPr>
            <w:r>
              <w:rPr>
                <w:sz w:val="21"/>
              </w:rPr>
              <w:t>2,460.50 MU  —  2014-03-01</w:t>
            </w:r>
          </w:p>
        </w:tc>
      </w:tr>
      <w:tr>
        <w:tc>
          <w:tcPr>
            <w:tcW w:w="4320" w:type="dxa"/>
            <w:shd w:val="clear" w:color="auto" w:fill="EBF3FB"/>
          </w:tcPr>
          <w:p w14:paraId="00100144" w14:textId="00100145">
            <w:r>
              <w:rPr>
                <w:b/>
                <w:sz w:val="21"/>
              </w:rPr>
              <w:t>Date Range</w:t>
            </w:r>
          </w:p>
        </w:tc>
        <w:tc>
          <w:tcPr>
            <w:tcW w:w="4320" w:type="dxa"/>
            <w:shd w:val="clear" w:color="auto" w:fill="EBF3FB"/>
          </w:tcPr>
          <w:p w14:paraId="00100146" w14:textId="00100147">
            <w:pPr>
              <w:jc w:val="center"/>
            </w:pPr>
            <w:r>
              <w:rPr>
                <w:sz w:val="21"/>
              </w:rPr>
              <w:t>2013-01-06 to 2024-09-29 (3,707 days)</w:t>
            </w:r>
          </w:p>
        </w:tc>
      </w:tr>
      <w:tr>
        <w:tc>
          <w:tcPr>
            <w:tcW w:w="4320" w:type="dxa"/>
            <w:shd w:val="clear" w:color="auto" w:fill="FFFFFF"/>
          </w:tcPr>
          <w:p w14:paraId="00100148" w14:textId="00100149">
            <w:r>
              <w:rPr>
                <w:b/>
                <w:sz w:val="21"/>
              </w:rPr>
              <w:t>Number of Columns (entities + total)</w:t>
            </w:r>
          </w:p>
        </w:tc>
        <w:tc>
          <w:tcPr>
            <w:tcW w:w="4320" w:type="dxa"/>
            <w:shd w:val="clear" w:color="auto" w:fill="FFFFFF"/>
          </w:tcPr>
          <w:p w14:paraId="0010014A" w14:textId="0010014B">
            <w:pPr>
              <w:jc w:val="center"/>
            </w:pPr>
            <w:r>
              <w:rPr>
                <w:sz w:val="21"/>
              </w:rPr>
              <w:t>38</w:t>
            </w:r>
          </w:p>
        </w:tc>
      </w:tr>
      <w:tr>
        <w:tc>
          <w:tcPr>
            <w:tcW w:w="4320" w:type="dxa"/>
            <w:shd w:val="clear" w:color="auto" w:fill="EBF3FB"/>
          </w:tcPr>
          <w:p w14:paraId="0010014C" w14:textId="0010014D">
            <w:r>
              <w:rPr>
                <w:b/>
                <w:sz w:val="21"/>
              </w:rPr>
              <w:t>Geographic Entities in Long Format</w:t>
            </w:r>
          </w:p>
        </w:tc>
        <w:tc>
          <w:tcPr>
            <w:tcW w:w="4320" w:type="dxa"/>
            <w:shd w:val="clear" w:color="auto" w:fill="EBF3FB"/>
          </w:tcPr>
          <w:p w14:paraId="0010014E" w14:textId="0010014F">
            <w:pPr>
              <w:jc w:val="center"/>
            </w:pPr>
            <w:r>
              <w:rPr>
                <w:sz w:val="21"/>
              </w:rPr>
              <w:t>34  (DVC and Essar Steel excluded)</w:t>
            </w:r>
          </w:p>
        </w:tc>
      </w:tr>
      <w:tr>
        <w:tc>
          <w:tcPr>
            <w:tcW w:w="4320" w:type="dxa"/>
            <w:shd w:val="clear" w:color="auto" w:fill="FFFFFF"/>
          </w:tcPr>
          <w:p w14:paraId="00100150" w14:textId="00100151">
            <w:r>
              <w:rPr>
                <w:b/>
                <w:sz w:val="21"/>
              </w:rPr>
              <w:t>Partial / Incomplete Years</w:t>
            </w:r>
          </w:p>
        </w:tc>
        <w:tc>
          <w:tcPr>
            <w:tcW w:w="4320" w:type="dxa"/>
            <w:shd w:val="clear" w:color="auto" w:fill="FFFFFF"/>
          </w:tcPr>
          <w:p w14:paraId="00100152" w14:textId="00100153">
            <w:pPr>
              <w:jc w:val="center"/>
            </w:pPr>
            <w:r>
              <w:rPr>
                <w:sz w:val="21"/>
              </w:rPr>
              <w:t>2013*, 2023*, 2024*</w:t>
            </w:r>
          </w:p>
        </w:tc>
      </w:tr>
    </w:tbl>
    <w:p w14:paraId="00100154" w14:textId="00100155">
      <w:pPr>
        <w:spacing w:after="120"/>
      </w:pPr>
    </w:p>
    <w:p w14:paraId="00100156" w14:textId="00100157">
      <w:pPr>
        <w:spacing w:before="0" w:after="80"/>
      </w:pPr>
      <w:r>
        <w:rPr>
          <w:b/>
          <w:sz w:val="22"/>
        </w:rPr>
        <w:t>Yearly Consumption and Year-over-Year Growth</w:t>
      </w:r>
    </w:p>
    <w:tbl>
      <w:tblPr>
        <w:tblStyle w:val="TableGrid"/>
        <w:tblW w:w="0" w:type="auto"/>
        <w:jc w:val="center"/>
        <w:tblLook w:val="04A0" w:firstRow="1" w:lastRow="0" w:firstColumn="1" w:lastColumn="0" w:noHBand="0" w:noVBand="1"/>
      </w:tblPr>
      <w:tblGrid>
        <w:gridCol w:w="3135"/>
        <w:gridCol w:w="3135"/>
        <w:gridCol w:w="3135"/>
      </w:tblGrid>
      <w:tr>
        <w:tc>
          <w:tcPr>
            <w:tcW w:w="1440" w:type="dxa"/>
            <w:shd w:val="clear" w:color="auto" w:fill="1A538E"/>
          </w:tcPr>
          <w:p w14:paraId="00100158" w14:textId="00100159">
            <w:pPr>
              <w:jc w:val="center"/>
            </w:pPr>
            <w:r>
              <w:rPr>
                <w:b/>
                <w:color w:val="FFFFFF"/>
                <w:sz w:val="20"/>
              </w:rPr>
              <w:t>Year</w:t>
            </w:r>
          </w:p>
        </w:tc>
        <w:tc>
          <w:tcPr>
            <w:tcW w:w="3168" w:type="dxa"/>
            <w:shd w:val="clear" w:color="auto" w:fill="1A538E"/>
          </w:tcPr>
          <w:p w14:paraId="0010015A" w14:textId="0010015B">
            <w:pPr>
              <w:jc w:val="center"/>
            </w:pPr>
            <w:r>
              <w:rPr>
                <w:b/>
                <w:color w:val="FFFFFF"/>
                <w:sz w:val="20"/>
              </w:rPr>
              <w:t>Total Consumption (MU)</w:t>
            </w:r>
          </w:p>
        </w:tc>
        <w:tc>
          <w:tcPr>
            <w:tcW w:w="3168" w:type="dxa"/>
            <w:shd w:val="clear" w:color="auto" w:fill="1A538E"/>
          </w:tcPr>
          <w:p w14:paraId="0010015C" w14:textId="0010015D">
            <w:pPr>
              <w:jc w:val="center"/>
            </w:pPr>
            <w:r>
              <w:rPr>
                <w:b/>
                <w:color w:val="FFFFFF"/>
                <w:sz w:val="20"/>
              </w:rPr>
              <w:t>YoY Growth (%)</w:t>
            </w:r>
          </w:p>
        </w:tc>
      </w:tr>
      <w:tr>
        <w:tc>
          <w:tcPr>
            <w:tcW w:w="1440" w:type="dxa"/>
            <w:shd w:val="clear" w:color="auto" w:fill="F0F4FA"/>
          </w:tcPr>
          <w:p w14:paraId="0010015E" w14:textId="0010015F">
            <w:pPr>
              <w:jc w:val="center"/>
            </w:pPr>
            <w:r>
              <w:rPr>
                <w:sz w:val="20"/>
              </w:rPr>
              <w:t>2013*</w:t>
            </w:r>
          </w:p>
        </w:tc>
        <w:tc>
          <w:tcPr>
            <w:tcW w:w="3168" w:type="dxa"/>
            <w:shd w:val="clear" w:color="auto" w:fill="F0F4FA"/>
          </w:tcPr>
          <w:p w14:paraId="00100160" w14:textId="00100161">
            <w:pPr>
              <w:jc w:val="center"/>
            </w:pPr>
            <w:r>
              <w:rPr>
                <w:sz w:val="20"/>
              </w:rPr>
              <w:t>424,021.4</w:t>
            </w:r>
          </w:p>
        </w:tc>
        <w:tc>
          <w:tcPr>
            <w:tcW w:w="3168" w:type="dxa"/>
            <w:shd w:val="clear" w:color="auto" w:fill="F0F4FA"/>
          </w:tcPr>
          <w:p w14:paraId="00100162" w14:textId="00100163">
            <w:pPr>
              <w:jc w:val="center"/>
            </w:pPr>
            <w:r>
              <w:rPr>
                <w:sz w:val="20"/>
              </w:rPr>
              <w:t>—</w:t>
            </w:r>
          </w:p>
        </w:tc>
      </w:tr>
      <w:tr>
        <w:tc>
          <w:tcPr>
            <w:tcW w:w="1440" w:type="dxa"/>
            <w:shd w:val="clear" w:color="auto" w:fill="FFFFFF"/>
          </w:tcPr>
          <w:p w14:paraId="00100164" w14:textId="00100165">
            <w:pPr>
              <w:jc w:val="center"/>
            </w:pPr>
            <w:r>
              <w:rPr>
                <w:sz w:val="20"/>
              </w:rPr>
              <w:t>2014</w:t>
            </w:r>
          </w:p>
        </w:tc>
        <w:tc>
          <w:tcPr>
            <w:tcW w:w="3168" w:type="dxa"/>
            <w:shd w:val="clear" w:color="auto" w:fill="FFFFFF"/>
          </w:tcPr>
          <w:p w14:paraId="00100166" w14:textId="00100167">
            <w:pPr>
              <w:jc w:val="center"/>
            </w:pPr>
            <w:r>
              <w:rPr>
                <w:sz w:val="20"/>
              </w:rPr>
              <w:t>835,961.8</w:t>
            </w:r>
          </w:p>
        </w:tc>
        <w:tc>
          <w:tcPr>
            <w:tcW w:w="3168" w:type="dxa"/>
            <w:shd w:val="clear" w:color="auto" w:fill="FFFFFF"/>
          </w:tcPr>
          <w:p w14:paraId="00100168" w14:textId="00100169">
            <w:pPr>
              <w:jc w:val="center"/>
            </w:pPr>
            <w:r>
              <w:rPr>
                <w:sz w:val="20"/>
              </w:rPr>
              <w:t>+97.15%</w:t>
            </w:r>
          </w:p>
        </w:tc>
      </w:tr>
      <w:tr>
        <w:tc>
          <w:tcPr>
            <w:tcW w:w="1440" w:type="dxa"/>
            <w:shd w:val="clear" w:color="auto" w:fill="F0F4FA"/>
          </w:tcPr>
          <w:p w14:paraId="0010016A" w14:textId="0010016B">
            <w:pPr>
              <w:jc w:val="center"/>
            </w:pPr>
            <w:r>
              <w:rPr>
                <w:sz w:val="20"/>
              </w:rPr>
              <w:t>2015</w:t>
            </w:r>
          </w:p>
        </w:tc>
        <w:tc>
          <w:tcPr>
            <w:tcW w:w="3168" w:type="dxa"/>
            <w:shd w:val="clear" w:color="auto" w:fill="F0F4FA"/>
          </w:tcPr>
          <w:p w14:paraId="0010016C" w14:textId="0010016D">
            <w:pPr>
              <w:jc w:val="center"/>
            </w:pPr>
            <w:r>
              <w:rPr>
                <w:sz w:val="20"/>
              </w:rPr>
              <w:t>858,142.6</w:t>
            </w:r>
          </w:p>
        </w:tc>
        <w:tc>
          <w:tcPr>
            <w:tcW w:w="3168" w:type="dxa"/>
            <w:shd w:val="clear" w:color="auto" w:fill="F0F4FA"/>
          </w:tcPr>
          <w:p w14:paraId="0010016E" w14:textId="0010016F">
            <w:pPr>
              <w:jc w:val="center"/>
            </w:pPr>
            <w:r>
              <w:rPr>
                <w:sz w:val="20"/>
              </w:rPr>
              <w:t>+2.65%</w:t>
            </w:r>
          </w:p>
        </w:tc>
      </w:tr>
      <w:tr>
        <w:tc>
          <w:tcPr>
            <w:tcW w:w="1440" w:type="dxa"/>
            <w:shd w:val="clear" w:color="auto" w:fill="FFFFFF"/>
          </w:tcPr>
          <w:p w14:paraId="00100170" w14:textId="00100171">
            <w:pPr>
              <w:jc w:val="center"/>
            </w:pPr>
            <w:r>
              <w:rPr>
                <w:sz w:val="20"/>
              </w:rPr>
              <w:t>2016</w:t>
            </w:r>
          </w:p>
        </w:tc>
        <w:tc>
          <w:tcPr>
            <w:tcW w:w="3168" w:type="dxa"/>
            <w:shd w:val="clear" w:color="auto" w:fill="FFFFFF"/>
          </w:tcPr>
          <w:p w14:paraId="00100172" w14:textId="00100173">
            <w:pPr>
              <w:jc w:val="center"/>
            </w:pPr>
            <w:r>
              <w:rPr>
                <w:sz w:val="20"/>
              </w:rPr>
              <w:t>1,126,228.3</w:t>
            </w:r>
          </w:p>
        </w:tc>
        <w:tc>
          <w:tcPr>
            <w:tcW w:w="3168" w:type="dxa"/>
            <w:shd w:val="clear" w:color="auto" w:fill="FFFFFF"/>
          </w:tcPr>
          <w:p w14:paraId="00100174" w14:textId="00100175">
            <w:pPr>
              <w:jc w:val="center"/>
            </w:pPr>
            <w:r>
              <w:rPr>
                <w:sz w:val="20"/>
              </w:rPr>
              <w:t>+31.24%</w:t>
            </w:r>
          </w:p>
        </w:tc>
      </w:tr>
      <w:tr>
        <w:tc>
          <w:tcPr>
            <w:tcW w:w="1440" w:type="dxa"/>
            <w:shd w:val="clear" w:color="auto" w:fill="F0F4FA"/>
          </w:tcPr>
          <w:p w14:paraId="00100176" w14:textId="00100177">
            <w:pPr>
              <w:jc w:val="center"/>
            </w:pPr>
            <w:r>
              <w:rPr>
                <w:sz w:val="20"/>
              </w:rPr>
              <w:t>2017</w:t>
            </w:r>
          </w:p>
        </w:tc>
        <w:tc>
          <w:tcPr>
            <w:tcW w:w="3168" w:type="dxa"/>
            <w:shd w:val="clear" w:color="auto" w:fill="F0F4FA"/>
          </w:tcPr>
          <w:p w14:paraId="00100178" w14:textId="00100179">
            <w:pPr>
              <w:jc w:val="center"/>
            </w:pPr>
            <w:r>
              <w:rPr>
                <w:sz w:val="20"/>
              </w:rPr>
              <w:t>1,190,508.6</w:t>
            </w:r>
          </w:p>
        </w:tc>
        <w:tc>
          <w:tcPr>
            <w:tcW w:w="3168" w:type="dxa"/>
            <w:shd w:val="clear" w:color="auto" w:fill="F0F4FA"/>
          </w:tcPr>
          <w:p w14:paraId="0010017A" w14:textId="0010017B">
            <w:pPr>
              <w:jc w:val="center"/>
            </w:pPr>
            <w:r>
              <w:rPr>
                <w:sz w:val="20"/>
              </w:rPr>
              <w:t>+5.71%</w:t>
            </w:r>
          </w:p>
        </w:tc>
      </w:tr>
      <w:tr>
        <w:tc>
          <w:tcPr>
            <w:tcW w:w="1440" w:type="dxa"/>
            <w:shd w:val="clear" w:color="auto" w:fill="FFFFFF"/>
          </w:tcPr>
          <w:p w14:paraId="0010017C" w14:textId="0010017D">
            <w:pPr>
              <w:jc w:val="center"/>
            </w:pPr>
            <w:r>
              <w:rPr>
                <w:sz w:val="20"/>
              </w:rPr>
              <w:t>2018</w:t>
            </w:r>
          </w:p>
        </w:tc>
        <w:tc>
          <w:tcPr>
            <w:tcW w:w="3168" w:type="dxa"/>
            <w:shd w:val="clear" w:color="auto" w:fill="FFFFFF"/>
          </w:tcPr>
          <w:p w14:paraId="0010017E" w14:textId="0010017F">
            <w:pPr>
              <w:jc w:val="center"/>
            </w:pPr>
            <w:r>
              <w:rPr>
                <w:sz w:val="20"/>
              </w:rPr>
              <w:t>1,278,982.2</w:t>
            </w:r>
          </w:p>
        </w:tc>
        <w:tc>
          <w:tcPr>
            <w:tcW w:w="3168" w:type="dxa"/>
            <w:shd w:val="clear" w:color="auto" w:fill="FFFFFF"/>
          </w:tcPr>
          <w:p w14:paraId="00100180" w14:textId="00100181">
            <w:pPr>
              <w:jc w:val="center"/>
            </w:pPr>
            <w:r>
              <w:rPr>
                <w:sz w:val="20"/>
              </w:rPr>
              <w:t>+7.43%</w:t>
            </w:r>
          </w:p>
        </w:tc>
      </w:tr>
      <w:tr>
        <w:tc>
          <w:tcPr>
            <w:tcW w:w="1440" w:type="dxa"/>
            <w:shd w:val="clear" w:color="auto" w:fill="F0F4FA"/>
          </w:tcPr>
          <w:p w14:paraId="00100182" w14:textId="00100183">
            <w:pPr>
              <w:jc w:val="center"/>
            </w:pPr>
            <w:r>
              <w:rPr>
                <w:sz w:val="20"/>
              </w:rPr>
              <w:t>2019</w:t>
            </w:r>
          </w:p>
        </w:tc>
        <w:tc>
          <w:tcPr>
            <w:tcW w:w="3168" w:type="dxa"/>
            <w:shd w:val="clear" w:color="auto" w:fill="F0F4FA"/>
          </w:tcPr>
          <w:p w14:paraId="00100184" w14:textId="00100185">
            <w:pPr>
              <w:jc w:val="center"/>
            </w:pPr>
            <w:r>
              <w:rPr>
                <w:sz w:val="20"/>
              </w:rPr>
              <w:t>1,291,201.5</w:t>
            </w:r>
          </w:p>
        </w:tc>
        <w:tc>
          <w:tcPr>
            <w:tcW w:w="3168" w:type="dxa"/>
            <w:shd w:val="clear" w:color="auto" w:fill="F0F4FA"/>
          </w:tcPr>
          <w:p w14:paraId="00100186" w14:textId="00100187">
            <w:pPr>
              <w:jc w:val="center"/>
            </w:pPr>
            <w:r>
              <w:rPr>
                <w:sz w:val="20"/>
              </w:rPr>
              <w:t>+0.96%</w:t>
            </w:r>
          </w:p>
        </w:tc>
      </w:tr>
      <w:tr>
        <w:tc>
          <w:tcPr>
            <w:tcW w:w="1440" w:type="dxa"/>
            <w:shd w:val="clear" w:color="auto" w:fill="FFFFFF"/>
          </w:tcPr>
          <w:p w14:paraId="00100188" w14:textId="00100189">
            <w:pPr>
              <w:jc w:val="center"/>
            </w:pPr>
            <w:r>
              <w:rPr>
                <w:sz w:val="20"/>
              </w:rPr>
              <w:t>2020</w:t>
            </w:r>
          </w:p>
        </w:tc>
        <w:tc>
          <w:tcPr>
            <w:tcW w:w="3168" w:type="dxa"/>
            <w:shd w:val="clear" w:color="auto" w:fill="FFFFFF"/>
          </w:tcPr>
          <w:p w14:paraId="0010018A" w14:textId="0010018B">
            <w:pPr>
              <w:jc w:val="center"/>
            </w:pPr>
            <w:r>
              <w:rPr>
                <w:sz w:val="20"/>
              </w:rPr>
              <w:t>1,075,208.5</w:t>
            </w:r>
          </w:p>
        </w:tc>
        <w:tc>
          <w:tcPr>
            <w:tcW w:w="3168" w:type="dxa"/>
            <w:shd w:val="clear" w:color="auto" w:fill="FFFFFF"/>
          </w:tcPr>
          <w:p w14:paraId="0010018C" w14:textId="0010018D">
            <w:pPr>
              <w:jc w:val="center"/>
            </w:pPr>
            <w:r>
              <w:rPr>
                <w:sz w:val="20"/>
              </w:rPr>
              <w:t>-16.73%</w:t>
            </w:r>
          </w:p>
        </w:tc>
      </w:tr>
      <w:tr>
        <w:tc>
          <w:tcPr>
            <w:tcW w:w="1440" w:type="dxa"/>
            <w:shd w:val="clear" w:color="auto" w:fill="F0F4FA"/>
          </w:tcPr>
          <w:p w14:paraId="0010018E" w14:textId="0010018F">
            <w:pPr>
              <w:jc w:val="center"/>
            </w:pPr>
            <w:r>
              <w:rPr>
                <w:sz w:val="20"/>
              </w:rPr>
              <w:t>2021</w:t>
            </w:r>
          </w:p>
        </w:tc>
        <w:tc>
          <w:tcPr>
            <w:tcW w:w="3168" w:type="dxa"/>
            <w:shd w:val="clear" w:color="auto" w:fill="F0F4FA"/>
          </w:tcPr>
          <w:p w14:paraId="00100190" w14:textId="00100191">
            <w:pPr>
              <w:jc w:val="center"/>
            </w:pPr>
            <w:r>
              <w:rPr>
                <w:sz w:val="20"/>
              </w:rPr>
              <w:t>1,323,615.8</w:t>
            </w:r>
          </w:p>
        </w:tc>
        <w:tc>
          <w:tcPr>
            <w:tcW w:w="3168" w:type="dxa"/>
            <w:shd w:val="clear" w:color="auto" w:fill="F0F4FA"/>
          </w:tcPr>
          <w:p w14:paraId="00100192" w14:textId="00100193">
            <w:pPr>
              <w:jc w:val="center"/>
            </w:pPr>
            <w:r>
              <w:rPr>
                <w:sz w:val="20"/>
              </w:rPr>
              <w:t>+23.10%</w:t>
            </w:r>
          </w:p>
        </w:tc>
      </w:tr>
      <w:tr>
        <w:tc>
          <w:tcPr>
            <w:tcW w:w="1440" w:type="dxa"/>
            <w:shd w:val="clear" w:color="auto" w:fill="FFFFFF"/>
          </w:tcPr>
          <w:p w14:paraId="00100194" w14:textId="00100195">
            <w:pPr>
              <w:jc w:val="center"/>
            </w:pPr>
            <w:r>
              <w:rPr>
                <w:sz w:val="20"/>
              </w:rPr>
              <w:t>2022</w:t>
            </w:r>
          </w:p>
        </w:tc>
        <w:tc>
          <w:tcPr>
            <w:tcW w:w="3168" w:type="dxa"/>
            <w:shd w:val="clear" w:color="auto" w:fill="FFFFFF"/>
          </w:tcPr>
          <w:p w14:paraId="00100196" w14:textId="00100197">
            <w:pPr>
              <w:jc w:val="center"/>
            </w:pPr>
            <w:r>
              <w:rPr>
                <w:sz w:val="20"/>
              </w:rPr>
              <w:t>1,351,058.5</w:t>
            </w:r>
          </w:p>
        </w:tc>
        <w:tc>
          <w:tcPr>
            <w:tcW w:w="3168" w:type="dxa"/>
            <w:shd w:val="clear" w:color="auto" w:fill="FFFFFF"/>
          </w:tcPr>
          <w:p w14:paraId="00100198" w14:textId="00100199">
            <w:pPr>
              <w:jc w:val="center"/>
            </w:pPr>
            <w:r>
              <w:rPr>
                <w:sz w:val="20"/>
              </w:rPr>
              <w:t>+2.07%</w:t>
            </w:r>
          </w:p>
        </w:tc>
      </w:tr>
      <w:tr>
        <w:tc>
          <w:tcPr>
            <w:tcW w:w="1440" w:type="dxa"/>
            <w:shd w:val="clear" w:color="auto" w:fill="F0F4FA"/>
          </w:tcPr>
          <w:p w14:paraId="0010019A" w14:textId="0010019B">
            <w:pPr>
              <w:jc w:val="center"/>
            </w:pPr>
            <w:r>
              <w:rPr>
                <w:sz w:val="20"/>
              </w:rPr>
              <w:t>2023*</w:t>
            </w:r>
          </w:p>
        </w:tc>
        <w:tc>
          <w:tcPr>
            <w:tcW w:w="3168" w:type="dxa"/>
            <w:shd w:val="clear" w:color="auto" w:fill="F0F4FA"/>
          </w:tcPr>
          <w:p w14:paraId="0010019C" w14:textId="0010019D">
            <w:pPr>
              <w:jc w:val="center"/>
            </w:pPr>
            <w:r>
              <w:rPr>
                <w:sz w:val="20"/>
              </w:rPr>
              <w:t>1,181,767.7</w:t>
            </w:r>
          </w:p>
        </w:tc>
        <w:tc>
          <w:tcPr>
            <w:tcW w:w="3168" w:type="dxa"/>
            <w:shd w:val="clear" w:color="auto" w:fill="F0F4FA"/>
          </w:tcPr>
          <w:p w14:paraId="0010019E" w14:textId="0010019F">
            <w:pPr>
              <w:jc w:val="center"/>
            </w:pPr>
            <w:r>
              <w:rPr>
                <w:sz w:val="20"/>
              </w:rPr>
              <w:t>-12.53%</w:t>
            </w:r>
          </w:p>
        </w:tc>
      </w:tr>
      <w:tr>
        <w:tc>
          <w:tcPr>
            <w:tcW w:w="1440" w:type="dxa"/>
            <w:shd w:val="clear" w:color="auto" w:fill="FFFFFF"/>
          </w:tcPr>
          <w:p w14:paraId="001001A0" w14:textId="001001A1">
            <w:pPr>
              <w:jc w:val="center"/>
            </w:pPr>
            <w:r>
              <w:rPr>
                <w:sz w:val="20"/>
              </w:rPr>
              <w:t>2024*</w:t>
            </w:r>
          </w:p>
        </w:tc>
        <w:tc>
          <w:tcPr>
            <w:tcW w:w="3168" w:type="dxa"/>
            <w:shd w:val="clear" w:color="auto" w:fill="FFFFFF"/>
          </w:tcPr>
          <w:p w14:paraId="001001A2" w14:textId="001001A3">
            <w:pPr>
              <w:jc w:val="center"/>
            </w:pPr>
            <w:r>
              <w:rPr>
                <w:sz w:val="20"/>
              </w:rPr>
              <w:t>1,248,422.3</w:t>
            </w:r>
          </w:p>
        </w:tc>
        <w:tc>
          <w:tcPr>
            <w:tcW w:w="3168" w:type="dxa"/>
            <w:shd w:val="clear" w:color="auto" w:fill="FFFFFF"/>
          </w:tcPr>
          <w:p w14:paraId="001001A4" w14:textId="001001A5">
            <w:pPr>
              <w:jc w:val="center"/>
            </w:pPr>
            <w:r>
              <w:rPr>
                <w:sz w:val="20"/>
              </w:rPr>
              <w:t>+5.64%</w:t>
            </w:r>
          </w:p>
        </w:tc>
      </w:tr>
    </w:tbl>
    <w:p w14:paraId="001001A6" w14:textId="001001A7">
      <w:pPr>
        <w:spacing w:after="120"/>
      </w:pPr>
    </w:p>
    <w:p w14:paraId="001001A8" w14:textId="001001A9">
      <w:pPr>
        <w:spacing w:before="0" w:after="80"/>
      </w:pPr>
      <w:r>
        <w:rPr>
          <w:b w:val="0"/>
          <w:color w:val="646464"/>
          <w:sz w:val="19"/>
        </w:rPr>
        <w:t>* Partial/incomplete calendar year — comparisons to full years should be made with caution.</w:t>
      </w:r>
    </w:p>
    <w:p w14:paraId="001001AA" w14:textId="001001AB">
      <w:pPr>
        <w:spacing w:before="120" w:after="40"/>
        <w:jc w:val="center"/>
      </w:pPr>
      <w:r>
        <w:drawing>
          <wp:inline xmlns:a="http://schemas.openxmlformats.org/drawingml/2006/main" xmlns:pic="http://schemas.openxmlformats.org/drawingml/2006/picture">
            <wp:extent cx="5486400" cy="2310063"/>
            <wp:docPr id="6" name="Picture 6"/>
            <wp:cNvGraphicFramePr>
              <a:graphicFrameLocks noChangeAspect="1"/>
            </wp:cNvGraphicFramePr>
            <a:graphic>
              <a:graphicData uri="http://schemas.openxmlformats.org/drawingml/2006/picture">
                <pic:pic>
                  <pic:nvPicPr>
                    <pic:cNvPr id="0" name="fig9_yoy_growth.png"/>
                    <pic:cNvPicPr/>
                  </pic:nvPicPr>
                  <pic:blipFill>
                    <a:blip r:embed="rId14"/>
                    <a:stretch>
                      <a:fillRect/>
                    </a:stretch>
                  </pic:blipFill>
                  <pic:spPr>
                    <a:xfrm>
                      <a:off x="0" y="0"/>
                      <a:ext cx="5486400" cy="2310063"/>
                    </a:xfrm>
                    <a:prstGeom prst="rect"/>
                  </pic:spPr>
                </pic:pic>
              </a:graphicData>
            </a:graphic>
          </wp:inline>
        </w:drawing>
      </w:r>
    </w:p>
    <w:p w14:paraId="001001AC" w14:textId="001001AD">
      <w:pPr>
        <w:spacing w:after="200"/>
        <w:jc w:val="center"/>
      </w:pPr>
      <w:r>
        <w:rPr>
          <w:i/>
          <w:color w:val="555555"/>
          <w:sz w:val="19"/>
        </w:rPr>
        <w:t>Figure 6 — Year-over-Year Growth in Total Consumption. 2020 shows a notable decline; 2021 shows a strong recovery. Partial years (marked *) are not directly comparable to full years.</w:t>
      </w:r>
    </w:p>
    <w:p w14:paraId="001001AE" w14:textId="001001AF">
      <w:pPr>
        <w:spacing w:before="0" w:after="80"/>
      </w:pPr>
      <w:r>
        <w:rPr>
          <w:b/>
          <w:sz w:val="22"/>
        </w:rPr>
        <w:t>Monthly Consumption Totals (All Years Combined)</w:t>
      </w:r>
    </w:p>
    <w:tbl>
      <w:tblPr>
        <w:tblStyle w:val="TableGrid"/>
        <w:tblW w:w="0" w:type="auto"/>
        <w:jc w:val="center"/>
        <w:tblLook w:val="04A0" w:firstRow="1" w:lastRow="0" w:firstColumn="1" w:lastColumn="0" w:noHBand="0" w:noVBand="1"/>
      </w:tblPr>
      <w:tblGrid>
        <w:gridCol w:w="4703"/>
        <w:gridCol w:w="4703"/>
      </w:tblGrid>
      <w:tr>
        <w:tc>
          <w:tcPr>
            <w:tcW w:w="2592" w:type="dxa"/>
            <w:shd w:val="clear" w:color="auto" w:fill="1A538E"/>
          </w:tcPr>
          <w:p w14:paraId="001001B0" w14:textId="001001B1">
            <w:pPr>
              <w:jc w:val="center"/>
            </w:pPr>
            <w:r>
              <w:rPr>
                <w:b/>
                <w:color w:val="FFFFFF"/>
                <w:sz w:val="20"/>
              </w:rPr>
              <w:t>Month</w:t>
            </w:r>
          </w:p>
        </w:tc>
        <w:tc>
          <w:tcPr>
            <w:tcW w:w="3168" w:type="dxa"/>
            <w:shd w:val="clear" w:color="auto" w:fill="1A538E"/>
          </w:tcPr>
          <w:p w14:paraId="001001B2" w14:textId="001001B3">
            <w:pPr>
              <w:jc w:val="center"/>
            </w:pPr>
            <w:r>
              <w:rPr>
                <w:b/>
                <w:color w:val="FFFFFF"/>
                <w:sz w:val="20"/>
              </w:rPr>
              <w:t>Total Consumption (MU)</w:t>
            </w:r>
          </w:p>
        </w:tc>
      </w:tr>
      <w:tr>
        <w:tc>
          <w:tcPr>
            <w:tcW w:w="2592" w:type="dxa"/>
            <w:shd w:val="clear" w:color="auto" w:fill="F0F4FA"/>
          </w:tcPr>
          <w:p w14:paraId="001001B4" w14:textId="001001B5">
            <w:pPr>
              <w:jc w:val="center"/>
            </w:pPr>
            <w:r>
              <w:rPr>
                <w:sz w:val="20"/>
              </w:rPr>
              <w:t>January</w:t>
            </w:r>
          </w:p>
        </w:tc>
        <w:tc>
          <w:tcPr>
            <w:tcW w:w="3168" w:type="dxa"/>
            <w:shd w:val="clear" w:color="auto" w:fill="F0F4FA"/>
          </w:tcPr>
          <w:p w14:paraId="001001B6" w14:textId="001001B7">
            <w:pPr>
              <w:jc w:val="center"/>
            </w:pPr>
            <w:r>
              <w:rPr>
                <w:sz w:val="20"/>
              </w:rPr>
              <w:t>945,372.4</w:t>
            </w:r>
          </w:p>
        </w:tc>
      </w:tr>
      <w:tr>
        <w:tc>
          <w:tcPr>
            <w:tcW w:w="2592" w:type="dxa"/>
            <w:shd w:val="clear" w:color="auto" w:fill="FFFFFF"/>
          </w:tcPr>
          <w:p w14:paraId="001001B8" w14:textId="001001B9">
            <w:pPr>
              <w:jc w:val="center"/>
            </w:pPr>
            <w:r>
              <w:rPr>
                <w:sz w:val="20"/>
              </w:rPr>
              <w:t>February</w:t>
            </w:r>
          </w:p>
        </w:tc>
        <w:tc>
          <w:tcPr>
            <w:tcW w:w="3168" w:type="dxa"/>
            <w:shd w:val="clear" w:color="auto" w:fill="FFFFFF"/>
          </w:tcPr>
          <w:p w14:paraId="001001BA" w14:textId="001001BB">
            <w:pPr>
              <w:jc w:val="center"/>
            </w:pPr>
            <w:r>
              <w:rPr>
                <w:sz w:val="20"/>
              </w:rPr>
              <w:t>885,177.9</w:t>
            </w:r>
          </w:p>
        </w:tc>
      </w:tr>
      <w:tr>
        <w:tc>
          <w:tcPr>
            <w:tcW w:w="2592" w:type="dxa"/>
            <w:shd w:val="clear" w:color="auto" w:fill="F0F4FA"/>
          </w:tcPr>
          <w:p w14:paraId="001001BC" w14:textId="001001BD">
            <w:pPr>
              <w:jc w:val="center"/>
            </w:pPr>
            <w:r>
              <w:rPr>
                <w:sz w:val="20"/>
              </w:rPr>
              <w:t>March</w:t>
            </w:r>
          </w:p>
        </w:tc>
        <w:tc>
          <w:tcPr>
            <w:tcW w:w="3168" w:type="dxa"/>
            <w:shd w:val="clear" w:color="auto" w:fill="F0F4FA"/>
          </w:tcPr>
          <w:p w14:paraId="001001BE" w14:textId="001001BF">
            <w:pPr>
              <w:jc w:val="center"/>
            </w:pPr>
            <w:r>
              <w:rPr>
                <w:sz w:val="20"/>
              </w:rPr>
              <w:t>1,006,437.1</w:t>
            </w:r>
          </w:p>
        </w:tc>
      </w:tr>
      <w:tr>
        <w:tc>
          <w:tcPr>
            <w:tcW w:w="2592" w:type="dxa"/>
            <w:shd w:val="clear" w:color="auto" w:fill="FFFFFF"/>
          </w:tcPr>
          <w:p w14:paraId="001001C0" w14:textId="001001C1">
            <w:pPr>
              <w:jc w:val="center"/>
            </w:pPr>
            <w:r>
              <w:rPr>
                <w:sz w:val="20"/>
              </w:rPr>
              <w:t>April</w:t>
            </w:r>
          </w:p>
        </w:tc>
        <w:tc>
          <w:tcPr>
            <w:tcW w:w="3168" w:type="dxa"/>
            <w:shd w:val="clear" w:color="auto" w:fill="FFFFFF"/>
          </w:tcPr>
          <w:p w14:paraId="001001C2" w14:textId="001001C3">
            <w:pPr>
              <w:jc w:val="center"/>
            </w:pPr>
            <w:r>
              <w:rPr>
                <w:sz w:val="20"/>
              </w:rPr>
              <w:t>1,120,924.5</w:t>
            </w:r>
          </w:p>
        </w:tc>
      </w:tr>
      <w:tr>
        <w:tc>
          <w:tcPr>
            <w:tcW w:w="2592" w:type="dxa"/>
            <w:shd w:val="clear" w:color="auto" w:fill="F0F4FA"/>
          </w:tcPr>
          <w:p w14:paraId="001001C4" w14:textId="001001C5">
            <w:pPr>
              <w:jc w:val="center"/>
            </w:pPr>
            <w:r>
              <w:rPr>
                <w:sz w:val="20"/>
              </w:rPr>
              <w:t>May</w:t>
            </w:r>
          </w:p>
        </w:tc>
        <w:tc>
          <w:tcPr>
            <w:tcW w:w="3168" w:type="dxa"/>
            <w:shd w:val="clear" w:color="auto" w:fill="F0F4FA"/>
          </w:tcPr>
          <w:p w14:paraId="001001C6" w14:textId="001001C7">
            <w:pPr>
              <w:jc w:val="center"/>
            </w:pPr>
            <w:r>
              <w:rPr>
                <w:sz w:val="20"/>
              </w:rPr>
              <w:t>1,211,416.2</w:t>
            </w:r>
          </w:p>
        </w:tc>
      </w:tr>
      <w:tr>
        <w:tc>
          <w:tcPr>
            <w:tcW w:w="2592" w:type="dxa"/>
            <w:shd w:val="clear" w:color="auto" w:fill="FFFFFF"/>
          </w:tcPr>
          <w:p w14:paraId="001001C8" w14:textId="001001C9">
            <w:pPr>
              <w:jc w:val="center"/>
            </w:pPr>
            <w:r>
              <w:rPr>
                <w:sz w:val="20"/>
              </w:rPr>
              <w:t>June</w:t>
            </w:r>
          </w:p>
        </w:tc>
        <w:tc>
          <w:tcPr>
            <w:tcW w:w="3168" w:type="dxa"/>
            <w:shd w:val="clear" w:color="auto" w:fill="FFFFFF"/>
          </w:tcPr>
          <w:p w14:paraId="001001CA" w14:textId="001001CB">
            <w:pPr>
              <w:jc w:val="center"/>
            </w:pPr>
            <w:r>
              <w:rPr>
                <w:sz w:val="20"/>
              </w:rPr>
              <w:t>1,141,216.5</w:t>
            </w:r>
          </w:p>
        </w:tc>
      </w:tr>
      <w:tr>
        <w:tc>
          <w:tcPr>
            <w:tcW w:w="2592" w:type="dxa"/>
            <w:shd w:val="clear" w:color="auto" w:fill="F0F4FA"/>
          </w:tcPr>
          <w:p w14:paraId="001001CC" w14:textId="001001CD">
            <w:pPr>
              <w:jc w:val="center"/>
            </w:pPr>
            <w:r>
              <w:rPr>
                <w:sz w:val="20"/>
              </w:rPr>
              <w:t>July</w:t>
            </w:r>
          </w:p>
        </w:tc>
        <w:tc>
          <w:tcPr>
            <w:tcW w:w="3168" w:type="dxa"/>
            <w:shd w:val="clear" w:color="auto" w:fill="F0F4FA"/>
          </w:tcPr>
          <w:p w14:paraId="001001CE" w14:textId="001001CF">
            <w:pPr>
              <w:jc w:val="center"/>
            </w:pPr>
            <w:r>
              <w:rPr>
                <w:sz w:val="20"/>
              </w:rPr>
              <w:t>1,255,969.9</w:t>
            </w:r>
          </w:p>
        </w:tc>
      </w:tr>
      <w:tr>
        <w:tc>
          <w:tcPr>
            <w:tcW w:w="2592" w:type="dxa"/>
            <w:shd w:val="clear" w:color="auto" w:fill="FFFFFF"/>
          </w:tcPr>
          <w:p w14:paraId="001001D0" w14:textId="001001D1">
            <w:pPr>
              <w:jc w:val="center"/>
            </w:pPr>
            <w:r>
              <w:rPr>
                <w:sz w:val="20"/>
              </w:rPr>
              <w:t>August</w:t>
            </w:r>
          </w:p>
        </w:tc>
        <w:tc>
          <w:tcPr>
            <w:tcW w:w="3168" w:type="dxa"/>
            <w:shd w:val="clear" w:color="auto" w:fill="FFFFFF"/>
          </w:tcPr>
          <w:p w14:paraId="001001D2" w14:textId="001001D3">
            <w:pPr>
              <w:jc w:val="center"/>
            </w:pPr>
            <w:r>
              <w:rPr>
                <w:sz w:val="20"/>
              </w:rPr>
              <w:t>1,285,618.6</w:t>
            </w:r>
          </w:p>
        </w:tc>
      </w:tr>
      <w:tr>
        <w:tc>
          <w:tcPr>
            <w:tcW w:w="2592" w:type="dxa"/>
            <w:shd w:val="clear" w:color="auto" w:fill="F0F4FA"/>
          </w:tcPr>
          <w:p w14:paraId="001001D4" w14:textId="001001D5">
            <w:pPr>
              <w:jc w:val="center"/>
            </w:pPr>
            <w:r>
              <w:rPr>
                <w:sz w:val="20"/>
              </w:rPr>
              <w:t>September</w:t>
            </w:r>
          </w:p>
        </w:tc>
        <w:tc>
          <w:tcPr>
            <w:tcW w:w="3168" w:type="dxa"/>
            <w:shd w:val="clear" w:color="auto" w:fill="F0F4FA"/>
          </w:tcPr>
          <w:p w14:paraId="001001D6" w14:textId="001001D7">
            <w:pPr>
              <w:jc w:val="center"/>
            </w:pPr>
            <w:r>
              <w:rPr>
                <w:sz w:val="20"/>
              </w:rPr>
              <w:t>1,237,952.4</w:t>
            </w:r>
          </w:p>
        </w:tc>
      </w:tr>
      <w:tr>
        <w:tc>
          <w:tcPr>
            <w:tcW w:w="2592" w:type="dxa"/>
            <w:shd w:val="clear" w:color="auto" w:fill="FFFFFF"/>
          </w:tcPr>
          <w:p w14:paraId="001001D8" w14:textId="001001D9">
            <w:pPr>
              <w:jc w:val="center"/>
            </w:pPr>
            <w:r>
              <w:rPr>
                <w:sz w:val="20"/>
              </w:rPr>
              <w:t>October</w:t>
            </w:r>
          </w:p>
        </w:tc>
        <w:tc>
          <w:tcPr>
            <w:tcW w:w="3168" w:type="dxa"/>
            <w:shd w:val="clear" w:color="auto" w:fill="FFFFFF"/>
          </w:tcPr>
          <w:p w14:paraId="001001DA" w14:textId="001001DB">
            <w:pPr>
              <w:jc w:val="center"/>
            </w:pPr>
            <w:r>
              <w:rPr>
                <w:sz w:val="20"/>
              </w:rPr>
              <w:t>1,123,518.7</w:t>
            </w:r>
          </w:p>
        </w:tc>
      </w:tr>
      <w:tr>
        <w:tc>
          <w:tcPr>
            <w:tcW w:w="2592" w:type="dxa"/>
            <w:shd w:val="clear" w:color="auto" w:fill="F0F4FA"/>
          </w:tcPr>
          <w:p w14:paraId="001001DC" w14:textId="001001DD">
            <w:pPr>
              <w:jc w:val="center"/>
            </w:pPr>
            <w:r>
              <w:rPr>
                <w:sz w:val="20"/>
              </w:rPr>
              <w:t>November</w:t>
            </w:r>
          </w:p>
        </w:tc>
        <w:tc>
          <w:tcPr>
            <w:tcW w:w="3168" w:type="dxa"/>
            <w:shd w:val="clear" w:color="auto" w:fill="F0F4FA"/>
          </w:tcPr>
          <w:p w14:paraId="001001DE" w14:textId="001001DF">
            <w:pPr>
              <w:jc w:val="center"/>
            </w:pPr>
            <w:r>
              <w:rPr>
                <w:sz w:val="20"/>
              </w:rPr>
              <w:t>1,026,420.6</w:t>
            </w:r>
          </w:p>
        </w:tc>
      </w:tr>
      <w:tr>
        <w:tc>
          <w:tcPr>
            <w:tcW w:w="2592" w:type="dxa"/>
            <w:shd w:val="clear" w:color="auto" w:fill="FFFFFF"/>
          </w:tcPr>
          <w:p w14:paraId="001001E0" w14:textId="001001E1">
            <w:pPr>
              <w:jc w:val="center"/>
            </w:pPr>
            <w:r>
              <w:rPr>
                <w:sz w:val="20"/>
              </w:rPr>
              <w:t>December</w:t>
            </w:r>
          </w:p>
        </w:tc>
        <w:tc>
          <w:tcPr>
            <w:tcW w:w="3168" w:type="dxa"/>
            <w:shd w:val="clear" w:color="auto" w:fill="FFFFFF"/>
          </w:tcPr>
          <w:p w14:paraId="001001E2" w14:textId="001001E3">
            <w:pPr>
              <w:jc w:val="center"/>
            </w:pPr>
            <w:r>
              <w:rPr>
                <w:sz w:val="20"/>
              </w:rPr>
              <w:t>945,094.4</w:t>
            </w:r>
          </w:p>
        </w:tc>
      </w:tr>
    </w:tbl>
    <w:p w14:paraId="001001E4" w14:textId="001001E5">
      <w:pPr>
        <w:spacing w:after="120"/>
      </w:pPr>
    </w:p>
    <w:p w14:paraId="001001E6" w14:textId="001001E7">
      <w:pPr>
        <w:spacing w:before="80" w:after="80"/>
        <w:pBdr>
          <w:bottom w:val="single" w:color="CCCCCC" w:sz="4" w:space="1"/>
        </w:pBdr>
      </w:pPr>
    </w:p>
    <w:p w14:paraId="001001E8" w14:textId="001001E9">
      <w:pPr>
        <w:pStyle w:val="Heading1"/>
      </w:pPr>
      <w:r>
        <w:rPr>
          <w:b/>
          <w:color w:val="1A538E"/>
          <w:sz w:val="28"/>
        </w:rPr>
        <w:t>9. Entity-Level Analysis</w:t>
      </w:r>
    </w:p>
    <w:p w14:paraId="001001EA" w14:textId="001001EB">
      <w:pPr>
        <w:spacing w:before="0" w:after="80"/>
      </w:pPr>
      <w:r>
        <w:rPr>
          <w:b w:val="0"/>
          <w:sz w:val="22"/>
        </w:rPr>
        <w:t>Entity-level analysis was performed on all 34 geographic entities after reshaping the dataset into long format (126,038 rows × 3 columns: Dates, State, Consumption). DVC (power utility) and Essar Steel (industrial consumer) were excluded as they are not geographic state/UT entities.</w:t>
      </w:r>
    </w:p>
    <w:p w14:paraId="001001EC" w14:textId="001001ED">
      <w:pPr>
        <w:spacing w:before="0" w:after="80"/>
      </w:pPr>
      <w:r>
        <w:rPr>
          <w:b/>
          <w:sz w:val="21"/>
        </w:rPr>
        <w:t>Functions used:</w:t>
      </w:r>
    </w:p>
    <w:p w14:paraId="001001EE" w14:textId="001001EF">
      <w:pPr>
        <w:pStyle w:val="ListBullet"/>
        <w:spacing w:after="60"/>
      </w:pPr>
      <w:r>
        <w:rPr>
          <w:b/>
          <w:sz w:val="20"/>
        </w:rPr>
        <w:t xml:space="preserve">calculate_state_kpis(long_df)  —  </w:t>
      </w:r>
      <w:r>
        <w:rPr>
          <w:sz w:val="20"/>
        </w:rPr>
        <w:t>Per-entity KPIs: Total, Avg Daily, Max Day, Min Day</w:t>
      </w:r>
    </w:p>
    <w:p w14:paraId="001001F0" w14:textId="001001F1">
      <w:pPr>
        <w:pStyle w:val="ListBullet"/>
        <w:spacing w:after="60"/>
      </w:pPr>
      <w:r>
        <w:rPr>
          <w:b/>
          <w:sz w:val="20"/>
        </w:rPr>
        <w:t xml:space="preserve">calculate_top_entities(long_df, n)  —  </w:t>
      </w:r>
      <w:r>
        <w:rPr>
          <w:sz w:val="20"/>
        </w:rPr>
        <w:t>Top-N entities by total consumption (ranked dynamically)</w:t>
      </w:r>
    </w:p>
    <w:p w14:paraId="001001F2" w14:textId="001001F3">
      <w:pPr>
        <w:pStyle w:val="ListBullet"/>
        <w:spacing w:after="60"/>
      </w:pPr>
      <w:r>
        <w:rPr>
          <w:b/>
          <w:sz w:val="20"/>
        </w:rPr>
        <w:t xml:space="preserve">calculate_entity_yearly_trend(long_df)  —  </w:t>
      </w:r>
      <w:r>
        <w:rPr>
          <w:sz w:val="20"/>
        </w:rPr>
        <w:t>Yearly aggregated consumption for a single entity</w:t>
      </w:r>
    </w:p>
    <w:p w14:paraId="001001F4" w14:textId="001001F5">
      <w:pPr>
        <w:pStyle w:val="ListBullet"/>
        <w:spacing w:after="60"/>
      </w:pPr>
      <w:r>
        <w:rPr>
          <w:b/>
          <w:sz w:val="20"/>
        </w:rPr>
        <w:t xml:space="preserve">calculate_entity_monthly_trend(long_df)  —  </w:t>
      </w:r>
      <w:r>
        <w:rPr>
          <w:sz w:val="20"/>
        </w:rPr>
        <w:t>Monthly seasonal profile for a single entity</w:t>
      </w:r>
    </w:p>
    <w:p w14:paraId="001001F6" w14:textId="001001F7">
      <w:pPr>
        <w:spacing w:before="120" w:after="40"/>
        <w:jc w:val="center"/>
      </w:pPr>
      <w:r>
        <w:drawing>
          <wp:inline xmlns:a="http://schemas.openxmlformats.org/drawingml/2006/main" xmlns:pic="http://schemas.openxmlformats.org/drawingml/2006/picture">
            <wp:extent cx="5486400" cy="2425566"/>
            <wp:docPr id="7" name="Picture 7"/>
            <wp:cNvGraphicFramePr>
              <a:graphicFrameLocks noChangeAspect="1"/>
            </wp:cNvGraphicFramePr>
            <a:graphic>
              <a:graphicData uri="http://schemas.openxmlformats.org/drawingml/2006/picture">
                <pic:pic>
                  <pic:nvPicPr>
                    <pic:cNvPr id="0" name="fig7_top10.png"/>
                    <pic:cNvPicPr/>
                  </pic:nvPicPr>
                  <pic:blipFill>
                    <a:blip r:embed="rId15"/>
                    <a:stretch>
                      <a:fillRect/>
                    </a:stretch>
                  </pic:blipFill>
                  <pic:spPr>
                    <a:xfrm>
                      <a:off x="0" y="0"/>
                      <a:ext cx="5486400" cy="2425566"/>
                    </a:xfrm>
                    <a:prstGeom prst="rect"/>
                  </pic:spPr>
                </pic:pic>
              </a:graphicData>
            </a:graphic>
          </wp:inline>
        </w:drawing>
      </w:r>
    </w:p>
    <w:p w14:paraId="001001F8" w14:textId="001001F9">
      <w:pPr>
        <w:spacing w:after="200"/>
        <w:jc w:val="center"/>
      </w:pPr>
      <w:r>
        <w:rPr>
          <w:i/>
          <w:color w:val="555555"/>
          <w:sz w:val="19"/>
        </w:rPr>
        <w:t>Figure 7 — Top 10 Geographic Entities by Total Consumption (2013–2024). Maharashtra leads significantly, followed by UP, Gujarat, and Tamil Nadu.</w:t>
      </w:r>
    </w:p>
    <w:p w14:paraId="001001FA" w14:textId="001001FB">
      <w:pPr>
        <w:spacing w:before="0" w:after="80"/>
      </w:pPr>
      <w:r>
        <w:rPr>
          <w:b/>
          <w:sz w:val="22"/>
        </w:rPr>
        <w:t>Top 10 Entities — Summary Statistics</w:t>
      </w:r>
    </w:p>
    <w:tbl>
      <w:tblPr>
        <w:tblStyle w:val="TableGrid"/>
        <w:tblW w:w="0" w:type="auto"/>
        <w:jc w:val="center"/>
        <w:tblLook w:val="04A0" w:firstRow="1" w:lastRow="0" w:firstColumn="1" w:lastColumn="0" w:noHBand="0" w:noVBand="1"/>
      </w:tblPr>
      <w:tblGrid>
        <w:gridCol w:w="1881"/>
        <w:gridCol w:w="1881"/>
        <w:gridCol w:w="1881"/>
        <w:gridCol w:w="1881"/>
        <w:gridCol w:w="1881"/>
      </w:tblGrid>
      <w:tr>
        <w:tc>
          <w:tcPr>
            <w:tcW w:w="2304" w:type="dxa"/>
            <w:shd w:val="clear" w:color="auto" w:fill="1A538E"/>
          </w:tcPr>
          <w:p w14:paraId="001001FC" w14:textId="001001FD">
            <w:pPr>
              <w:jc w:val="center"/>
            </w:pPr>
            <w:r>
              <w:rPr>
                <w:b/>
                <w:color w:val="FFFFFF"/>
                <w:sz w:val="20"/>
              </w:rPr>
              <w:t>Entity</w:t>
            </w:r>
          </w:p>
        </w:tc>
        <w:tc>
          <w:tcPr>
            <w:tcW w:w="2016" w:type="dxa"/>
            <w:shd w:val="clear" w:color="auto" w:fill="1A538E"/>
          </w:tcPr>
          <w:p w14:paraId="001001FE" w14:textId="001001FF">
            <w:pPr>
              <w:jc w:val="center"/>
            </w:pPr>
            <w:r>
              <w:rPr>
                <w:b/>
                <w:color w:val="FFFFFF"/>
                <w:sz w:val="20"/>
              </w:rPr>
              <w:t>Total (MU)</w:t>
            </w:r>
          </w:p>
        </w:tc>
        <w:tc>
          <w:tcPr>
            <w:tcW w:w="2160" w:type="dxa"/>
            <w:shd w:val="clear" w:color="auto" w:fill="1A538E"/>
          </w:tcPr>
          <w:p w14:paraId="00100200" w14:textId="00100201">
            <w:pPr>
              <w:jc w:val="center"/>
            </w:pPr>
            <w:r>
              <w:rPr>
                <w:b/>
                <w:color w:val="FFFFFF"/>
                <w:sz w:val="20"/>
              </w:rPr>
              <w:t>Mean Daily (MU)</w:t>
            </w:r>
          </w:p>
        </w:tc>
        <w:tc>
          <w:tcPr>
            <w:tcW w:w="1872" w:type="dxa"/>
            <w:shd w:val="clear" w:color="auto" w:fill="1A538E"/>
          </w:tcPr>
          <w:p w14:paraId="00100202" w14:textId="00100203">
            <w:pPr>
              <w:jc w:val="center"/>
            </w:pPr>
            <w:r>
              <w:rPr>
                <w:b/>
                <w:color w:val="FFFFFF"/>
                <w:sz w:val="20"/>
              </w:rPr>
              <w:t>Max Day (MU)</w:t>
            </w:r>
          </w:p>
        </w:tc>
        <w:tc>
          <w:tcPr>
            <w:tcW w:w="1872" w:type="dxa"/>
            <w:shd w:val="clear" w:color="auto" w:fill="1A538E"/>
          </w:tcPr>
          <w:p w14:paraId="00100204" w14:textId="00100205">
            <w:pPr>
              <w:jc w:val="center"/>
            </w:pPr>
            <w:r>
              <w:rPr>
                <w:b/>
                <w:color w:val="FFFFFF"/>
                <w:sz w:val="20"/>
              </w:rPr>
              <w:t>Min Day (MU)</w:t>
            </w:r>
          </w:p>
        </w:tc>
      </w:tr>
      <w:tr>
        <w:tc>
          <w:tcPr>
            <w:tcW w:w="2304" w:type="dxa"/>
            <w:shd w:val="clear" w:color="auto" w:fill="F0F4FA"/>
          </w:tcPr>
          <w:p w14:paraId="00100206" w14:textId="00100207">
            <w:pPr>
              <w:jc w:val="center"/>
            </w:pPr>
            <w:r>
              <w:rPr>
                <w:sz w:val="20"/>
              </w:rPr>
              <w:t>Maharashtra</w:t>
            </w:r>
          </w:p>
        </w:tc>
        <w:tc>
          <w:tcPr>
            <w:tcW w:w="2016" w:type="dxa"/>
            <w:shd w:val="clear" w:color="auto" w:fill="F0F4FA"/>
          </w:tcPr>
          <w:p w14:paraId="00100208" w14:textId="00100209">
            <w:pPr>
              <w:jc w:val="center"/>
            </w:pPr>
            <w:r>
              <w:rPr>
                <w:sz w:val="20"/>
              </w:rPr>
              <w:t>1,653,762.1</w:t>
            </w:r>
          </w:p>
        </w:tc>
        <w:tc>
          <w:tcPr>
            <w:tcW w:w="2160" w:type="dxa"/>
            <w:shd w:val="clear" w:color="auto" w:fill="F0F4FA"/>
          </w:tcPr>
          <w:p w14:paraId="0010020A" w14:textId="0010020B">
            <w:pPr>
              <w:jc w:val="center"/>
            </w:pPr>
            <w:r>
              <w:rPr>
                <w:sz w:val="20"/>
              </w:rPr>
              <w:t>446.12</w:t>
            </w:r>
          </w:p>
        </w:tc>
        <w:tc>
          <w:tcPr>
            <w:tcW w:w="1872" w:type="dxa"/>
            <w:shd w:val="clear" w:color="auto" w:fill="F0F4FA"/>
          </w:tcPr>
          <w:p w14:paraId="0010020C" w14:textId="0010020D">
            <w:pPr>
              <w:jc w:val="center"/>
            </w:pPr>
            <w:r>
              <w:rPr>
                <w:sz w:val="20"/>
              </w:rPr>
              <w:t>648.3</w:t>
            </w:r>
          </w:p>
        </w:tc>
        <w:tc>
          <w:tcPr>
            <w:tcW w:w="1872" w:type="dxa"/>
            <w:shd w:val="clear" w:color="auto" w:fill="F0F4FA"/>
          </w:tcPr>
          <w:p w14:paraId="0010020E" w14:textId="0010020F">
            <w:pPr>
              <w:jc w:val="center"/>
            </w:pPr>
            <w:r>
              <w:rPr>
                <w:sz w:val="20"/>
              </w:rPr>
              <w:t>274.5</w:t>
            </w:r>
          </w:p>
        </w:tc>
      </w:tr>
      <w:tr>
        <w:tc>
          <w:tcPr>
            <w:tcW w:w="2304" w:type="dxa"/>
            <w:shd w:val="clear" w:color="auto" w:fill="FFFFFF"/>
          </w:tcPr>
          <w:p w14:paraId="00100210" w14:textId="00100211">
            <w:pPr>
              <w:jc w:val="center"/>
            </w:pPr>
            <w:r>
              <w:rPr>
                <w:sz w:val="20"/>
              </w:rPr>
              <w:t>UP</w:t>
            </w:r>
          </w:p>
        </w:tc>
        <w:tc>
          <w:tcPr>
            <w:tcW w:w="2016" w:type="dxa"/>
            <w:shd w:val="clear" w:color="auto" w:fill="FFFFFF"/>
          </w:tcPr>
          <w:p w14:paraId="00100212" w14:textId="00100213">
            <w:pPr>
              <w:jc w:val="center"/>
            </w:pPr>
            <w:r>
              <w:rPr>
                <w:sz w:val="20"/>
              </w:rPr>
              <w:t>1,215,485.1</w:t>
            </w:r>
          </w:p>
        </w:tc>
        <w:tc>
          <w:tcPr>
            <w:tcW w:w="2160" w:type="dxa"/>
            <w:shd w:val="clear" w:color="auto" w:fill="FFFFFF"/>
          </w:tcPr>
          <w:p w14:paraId="00100214" w14:textId="00100215">
            <w:pPr>
              <w:jc w:val="center"/>
            </w:pPr>
            <w:r>
              <w:rPr>
                <w:sz w:val="20"/>
              </w:rPr>
              <w:t>327.89</w:t>
            </w:r>
          </w:p>
        </w:tc>
        <w:tc>
          <w:tcPr>
            <w:tcW w:w="1872" w:type="dxa"/>
            <w:shd w:val="clear" w:color="auto" w:fill="FFFFFF"/>
          </w:tcPr>
          <w:p w14:paraId="00100216" w14:textId="00100217">
            <w:pPr>
              <w:jc w:val="center"/>
            </w:pPr>
            <w:r>
              <w:rPr>
                <w:sz w:val="20"/>
              </w:rPr>
              <w:t>658.8</w:t>
            </w:r>
          </w:p>
        </w:tc>
        <w:tc>
          <w:tcPr>
            <w:tcW w:w="1872" w:type="dxa"/>
            <w:shd w:val="clear" w:color="auto" w:fill="FFFFFF"/>
          </w:tcPr>
          <w:p w14:paraId="00100218" w14:textId="00100219">
            <w:pPr>
              <w:jc w:val="center"/>
            </w:pPr>
            <w:r>
              <w:rPr>
                <w:sz w:val="20"/>
              </w:rPr>
              <w:t>178.3</w:t>
            </w:r>
          </w:p>
        </w:tc>
      </w:tr>
      <w:tr>
        <w:tc>
          <w:tcPr>
            <w:tcW w:w="2304" w:type="dxa"/>
            <w:shd w:val="clear" w:color="auto" w:fill="F0F4FA"/>
          </w:tcPr>
          <w:p w14:paraId="0010021A" w14:textId="0010021B">
            <w:pPr>
              <w:jc w:val="center"/>
            </w:pPr>
            <w:r>
              <w:rPr>
                <w:sz w:val="20"/>
              </w:rPr>
              <w:t>Gujarat</w:t>
            </w:r>
          </w:p>
        </w:tc>
        <w:tc>
          <w:tcPr>
            <w:tcW w:w="2016" w:type="dxa"/>
            <w:shd w:val="clear" w:color="auto" w:fill="F0F4FA"/>
          </w:tcPr>
          <w:p w14:paraId="0010021C" w14:textId="0010021D">
            <w:pPr>
              <w:jc w:val="center"/>
            </w:pPr>
            <w:r>
              <w:rPr>
                <w:sz w:val="20"/>
              </w:rPr>
              <w:t>1,210,980.9</w:t>
            </w:r>
          </w:p>
        </w:tc>
        <w:tc>
          <w:tcPr>
            <w:tcW w:w="2160" w:type="dxa"/>
            <w:shd w:val="clear" w:color="auto" w:fill="F0F4FA"/>
          </w:tcPr>
          <w:p w14:paraId="0010021E" w14:textId="0010021F">
            <w:pPr>
              <w:jc w:val="center"/>
            </w:pPr>
            <w:r>
              <w:rPr>
                <w:sz w:val="20"/>
              </w:rPr>
              <w:t>326.67</w:t>
            </w:r>
          </w:p>
        </w:tc>
        <w:tc>
          <w:tcPr>
            <w:tcW w:w="1872" w:type="dxa"/>
            <w:shd w:val="clear" w:color="auto" w:fill="F0F4FA"/>
          </w:tcPr>
          <w:p w14:paraId="00100220" w14:textId="00100221">
            <w:pPr>
              <w:jc w:val="center"/>
            </w:pPr>
            <w:r>
              <w:rPr>
                <w:sz w:val="20"/>
              </w:rPr>
              <w:t>514.2</w:t>
            </w:r>
          </w:p>
        </w:tc>
        <w:tc>
          <w:tcPr>
            <w:tcW w:w="1872" w:type="dxa"/>
            <w:shd w:val="clear" w:color="auto" w:fill="F0F4FA"/>
          </w:tcPr>
          <w:p w14:paraId="00100222" w14:textId="00100223">
            <w:pPr>
              <w:jc w:val="center"/>
            </w:pPr>
            <w:r>
              <w:rPr>
                <w:sz w:val="20"/>
              </w:rPr>
              <w:t>121.1</w:t>
            </w:r>
          </w:p>
        </w:tc>
      </w:tr>
      <w:tr>
        <w:tc>
          <w:tcPr>
            <w:tcW w:w="2304" w:type="dxa"/>
            <w:shd w:val="clear" w:color="auto" w:fill="FFFFFF"/>
          </w:tcPr>
          <w:p w14:paraId="00100224" w14:textId="00100225">
            <w:pPr>
              <w:jc w:val="center"/>
            </w:pPr>
            <w:r>
              <w:rPr>
                <w:sz w:val="20"/>
              </w:rPr>
              <w:t>Tamil Nadu</w:t>
            </w:r>
          </w:p>
        </w:tc>
        <w:tc>
          <w:tcPr>
            <w:tcW w:w="2016" w:type="dxa"/>
            <w:shd w:val="clear" w:color="auto" w:fill="FFFFFF"/>
          </w:tcPr>
          <w:p w14:paraId="00100226" w14:textId="00100227">
            <w:pPr>
              <w:jc w:val="center"/>
            </w:pPr>
            <w:r>
              <w:rPr>
                <w:sz w:val="20"/>
              </w:rPr>
              <w:t>1,106,510.0</w:t>
            </w:r>
          </w:p>
        </w:tc>
        <w:tc>
          <w:tcPr>
            <w:tcW w:w="2160" w:type="dxa"/>
            <w:shd w:val="clear" w:color="auto" w:fill="FFFFFF"/>
          </w:tcPr>
          <w:p w14:paraId="00100228" w14:textId="00100229">
            <w:pPr>
              <w:jc w:val="center"/>
            </w:pPr>
            <w:r>
              <w:rPr>
                <w:sz w:val="20"/>
              </w:rPr>
              <w:t>298.49</w:t>
            </w:r>
          </w:p>
        </w:tc>
        <w:tc>
          <w:tcPr>
            <w:tcW w:w="1872" w:type="dxa"/>
            <w:shd w:val="clear" w:color="auto" w:fill="FFFFFF"/>
          </w:tcPr>
          <w:p w14:paraId="0010022A" w14:textId="0010022B">
            <w:pPr>
              <w:jc w:val="center"/>
            </w:pPr>
            <w:r>
              <w:rPr>
                <w:sz w:val="20"/>
              </w:rPr>
              <w:t>443.6</w:t>
            </w:r>
          </w:p>
        </w:tc>
        <w:tc>
          <w:tcPr>
            <w:tcW w:w="1872" w:type="dxa"/>
            <w:shd w:val="clear" w:color="auto" w:fill="FFFFFF"/>
          </w:tcPr>
          <w:p w14:paraId="0010022C" w14:textId="0010022D">
            <w:pPr>
              <w:jc w:val="center"/>
            </w:pPr>
            <w:r>
              <w:rPr>
                <w:sz w:val="20"/>
              </w:rPr>
              <w:t>0.0</w:t>
            </w:r>
          </w:p>
        </w:tc>
      </w:tr>
      <w:tr>
        <w:tc>
          <w:tcPr>
            <w:tcW w:w="2304" w:type="dxa"/>
            <w:shd w:val="clear" w:color="auto" w:fill="F0F4FA"/>
          </w:tcPr>
          <w:p w14:paraId="0010022E" w14:textId="0010022F">
            <w:pPr>
              <w:jc w:val="center"/>
            </w:pPr>
            <w:r>
              <w:rPr>
                <w:sz w:val="20"/>
              </w:rPr>
              <w:t>Rajasthan</w:t>
            </w:r>
          </w:p>
        </w:tc>
        <w:tc>
          <w:tcPr>
            <w:tcW w:w="2016" w:type="dxa"/>
            <w:shd w:val="clear" w:color="auto" w:fill="F0F4FA"/>
          </w:tcPr>
          <w:p w14:paraId="00100230" w14:textId="00100231">
            <w:pPr>
              <w:jc w:val="center"/>
            </w:pPr>
            <w:r>
              <w:rPr>
                <w:sz w:val="20"/>
              </w:rPr>
              <w:t>831,883.0</w:t>
            </w:r>
          </w:p>
        </w:tc>
        <w:tc>
          <w:tcPr>
            <w:tcW w:w="2160" w:type="dxa"/>
            <w:shd w:val="clear" w:color="auto" w:fill="F0F4FA"/>
          </w:tcPr>
          <w:p w14:paraId="00100232" w14:textId="00100233">
            <w:pPr>
              <w:jc w:val="center"/>
            </w:pPr>
            <w:r>
              <w:rPr>
                <w:sz w:val="20"/>
              </w:rPr>
              <w:t>224.41</w:t>
            </w:r>
          </w:p>
        </w:tc>
        <w:tc>
          <w:tcPr>
            <w:tcW w:w="1872" w:type="dxa"/>
            <w:shd w:val="clear" w:color="auto" w:fill="F0F4FA"/>
          </w:tcPr>
          <w:p w14:paraId="00100234" w14:textId="00100235">
            <w:pPr>
              <w:jc w:val="center"/>
            </w:pPr>
            <w:r>
              <w:rPr>
                <w:sz w:val="20"/>
              </w:rPr>
              <w:t>379.1</w:t>
            </w:r>
          </w:p>
        </w:tc>
        <w:tc>
          <w:tcPr>
            <w:tcW w:w="1872" w:type="dxa"/>
            <w:shd w:val="clear" w:color="auto" w:fill="F0F4FA"/>
          </w:tcPr>
          <w:p w14:paraId="00100236" w14:textId="00100237">
            <w:pPr>
              <w:jc w:val="center"/>
            </w:pPr>
            <w:r>
              <w:rPr>
                <w:sz w:val="20"/>
              </w:rPr>
              <w:t>105.8</w:t>
            </w:r>
          </w:p>
        </w:tc>
      </w:tr>
      <w:tr>
        <w:tc>
          <w:tcPr>
            <w:tcW w:w="2304" w:type="dxa"/>
            <w:shd w:val="clear" w:color="auto" w:fill="FFFFFF"/>
          </w:tcPr>
          <w:p w14:paraId="00100238" w14:textId="00100239">
            <w:pPr>
              <w:jc w:val="center"/>
            </w:pPr>
            <w:r>
              <w:rPr>
                <w:sz w:val="20"/>
              </w:rPr>
              <w:t>MP</w:t>
            </w:r>
          </w:p>
        </w:tc>
        <w:tc>
          <w:tcPr>
            <w:tcW w:w="2016" w:type="dxa"/>
            <w:shd w:val="clear" w:color="auto" w:fill="FFFFFF"/>
          </w:tcPr>
          <w:p w14:paraId="0010023A" w14:textId="0010023B">
            <w:pPr>
              <w:jc w:val="center"/>
            </w:pPr>
            <w:r>
              <w:rPr>
                <w:sz w:val="20"/>
              </w:rPr>
              <w:t>770,033.7</w:t>
            </w:r>
          </w:p>
        </w:tc>
        <w:tc>
          <w:tcPr>
            <w:tcW w:w="2160" w:type="dxa"/>
            <w:shd w:val="clear" w:color="auto" w:fill="FFFFFF"/>
          </w:tcPr>
          <w:p w14:paraId="0010023C" w14:textId="0010023D">
            <w:pPr>
              <w:jc w:val="center"/>
            </w:pPr>
            <w:r>
              <w:rPr>
                <w:sz w:val="20"/>
              </w:rPr>
              <w:t>207.72</w:t>
            </w:r>
          </w:p>
        </w:tc>
        <w:tc>
          <w:tcPr>
            <w:tcW w:w="1872" w:type="dxa"/>
            <w:shd w:val="clear" w:color="auto" w:fill="FFFFFF"/>
          </w:tcPr>
          <w:p w14:paraId="0010023E" w14:textId="0010023F">
            <w:pPr>
              <w:jc w:val="center"/>
            </w:pPr>
            <w:r>
              <w:rPr>
                <w:sz w:val="20"/>
              </w:rPr>
              <w:t>335.9</w:t>
            </w:r>
          </w:p>
        </w:tc>
        <w:tc>
          <w:tcPr>
            <w:tcW w:w="1872" w:type="dxa"/>
            <w:shd w:val="clear" w:color="auto" w:fill="FFFFFF"/>
          </w:tcPr>
          <w:p w14:paraId="00100240" w14:textId="00100241">
            <w:pPr>
              <w:jc w:val="center"/>
            </w:pPr>
            <w:r>
              <w:rPr>
                <w:sz w:val="20"/>
              </w:rPr>
              <w:t>93.9</w:t>
            </w:r>
          </w:p>
        </w:tc>
      </w:tr>
      <w:tr>
        <w:tc>
          <w:tcPr>
            <w:tcW w:w="2304" w:type="dxa"/>
            <w:shd w:val="clear" w:color="auto" w:fill="F0F4FA"/>
          </w:tcPr>
          <w:p w14:paraId="00100242" w14:textId="00100243">
            <w:pPr>
              <w:jc w:val="center"/>
            </w:pPr>
            <w:r>
              <w:rPr>
                <w:sz w:val="20"/>
              </w:rPr>
              <w:t>Karnataka</w:t>
            </w:r>
          </w:p>
        </w:tc>
        <w:tc>
          <w:tcPr>
            <w:tcW w:w="2016" w:type="dxa"/>
            <w:shd w:val="clear" w:color="auto" w:fill="F0F4FA"/>
          </w:tcPr>
          <w:p w14:paraId="00100244" w14:textId="00100245">
            <w:pPr>
              <w:jc w:val="center"/>
            </w:pPr>
            <w:r>
              <w:rPr>
                <w:sz w:val="20"/>
              </w:rPr>
              <w:t>726,517.9</w:t>
            </w:r>
          </w:p>
        </w:tc>
        <w:tc>
          <w:tcPr>
            <w:tcW w:w="2160" w:type="dxa"/>
            <w:shd w:val="clear" w:color="auto" w:fill="F0F4FA"/>
          </w:tcPr>
          <w:p w14:paraId="00100246" w14:textId="00100247">
            <w:pPr>
              <w:jc w:val="center"/>
            </w:pPr>
            <w:r>
              <w:rPr>
                <w:sz w:val="20"/>
              </w:rPr>
              <w:t>195.99</w:t>
            </w:r>
          </w:p>
        </w:tc>
        <w:tc>
          <w:tcPr>
            <w:tcW w:w="1872" w:type="dxa"/>
            <w:shd w:val="clear" w:color="auto" w:fill="F0F4FA"/>
          </w:tcPr>
          <w:p w14:paraId="00100248" w14:textId="00100249">
            <w:pPr>
              <w:jc w:val="center"/>
            </w:pPr>
            <w:r>
              <w:rPr>
                <w:sz w:val="20"/>
              </w:rPr>
              <w:t>336.9</w:t>
            </w:r>
          </w:p>
        </w:tc>
        <w:tc>
          <w:tcPr>
            <w:tcW w:w="1872" w:type="dxa"/>
            <w:shd w:val="clear" w:color="auto" w:fill="F0F4FA"/>
          </w:tcPr>
          <w:p w14:paraId="0010024A" w14:textId="0010024B">
            <w:pPr>
              <w:jc w:val="center"/>
            </w:pPr>
            <w:r>
              <w:rPr>
                <w:sz w:val="20"/>
              </w:rPr>
              <w:t>7.6</w:t>
            </w:r>
          </w:p>
        </w:tc>
      </w:tr>
      <w:tr>
        <w:tc>
          <w:tcPr>
            <w:tcW w:w="2304" w:type="dxa"/>
            <w:shd w:val="clear" w:color="auto" w:fill="FFFFFF"/>
          </w:tcPr>
          <w:p w14:paraId="0010024C" w14:textId="0010024D">
            <w:pPr>
              <w:jc w:val="center"/>
            </w:pPr>
            <w:r>
              <w:rPr>
                <w:sz w:val="20"/>
              </w:rPr>
              <w:t>Andhra Pradesh</w:t>
            </w:r>
          </w:p>
        </w:tc>
        <w:tc>
          <w:tcPr>
            <w:tcW w:w="2016" w:type="dxa"/>
            <w:shd w:val="clear" w:color="auto" w:fill="FFFFFF"/>
          </w:tcPr>
          <w:p w14:paraId="0010024E" w14:textId="0010024F">
            <w:pPr>
              <w:jc w:val="center"/>
            </w:pPr>
            <w:r>
              <w:rPr>
                <w:sz w:val="20"/>
              </w:rPr>
              <w:t>657,039.3</w:t>
            </w:r>
          </w:p>
        </w:tc>
        <w:tc>
          <w:tcPr>
            <w:tcW w:w="2160" w:type="dxa"/>
            <w:shd w:val="clear" w:color="auto" w:fill="FFFFFF"/>
          </w:tcPr>
          <w:p w14:paraId="00100250" w14:textId="00100251">
            <w:pPr>
              <w:jc w:val="center"/>
            </w:pPr>
            <w:r>
              <w:rPr>
                <w:sz w:val="20"/>
              </w:rPr>
              <w:t>177.24</w:t>
            </w:r>
          </w:p>
        </w:tc>
        <w:tc>
          <w:tcPr>
            <w:tcW w:w="1872" w:type="dxa"/>
            <w:shd w:val="clear" w:color="auto" w:fill="FFFFFF"/>
          </w:tcPr>
          <w:p w14:paraId="00100252" w14:textId="00100253">
            <w:pPr>
              <w:jc w:val="center"/>
            </w:pPr>
            <w:r>
              <w:rPr>
                <w:sz w:val="20"/>
              </w:rPr>
              <w:t>266.4</w:t>
            </w:r>
          </w:p>
        </w:tc>
        <w:tc>
          <w:tcPr>
            <w:tcW w:w="1872" w:type="dxa"/>
            <w:shd w:val="clear" w:color="auto" w:fill="FFFFFF"/>
          </w:tcPr>
          <w:p w14:paraId="00100254" w14:textId="00100255">
            <w:pPr>
              <w:jc w:val="center"/>
            </w:pPr>
            <w:r>
              <w:rPr>
                <w:sz w:val="20"/>
              </w:rPr>
              <w:t>62.3</w:t>
            </w:r>
          </w:p>
        </w:tc>
      </w:tr>
      <w:tr>
        <w:tc>
          <w:tcPr>
            <w:tcW w:w="2304" w:type="dxa"/>
            <w:shd w:val="clear" w:color="auto" w:fill="F0F4FA"/>
          </w:tcPr>
          <w:p w14:paraId="00100256" w14:textId="00100257">
            <w:pPr>
              <w:jc w:val="center"/>
            </w:pPr>
            <w:r>
              <w:rPr>
                <w:sz w:val="20"/>
              </w:rPr>
              <w:t>Telangana</w:t>
            </w:r>
          </w:p>
        </w:tc>
        <w:tc>
          <w:tcPr>
            <w:tcW w:w="2016" w:type="dxa"/>
            <w:shd w:val="clear" w:color="auto" w:fill="F0F4FA"/>
          </w:tcPr>
          <w:p w14:paraId="00100258" w14:textId="00100259">
            <w:pPr>
              <w:jc w:val="center"/>
            </w:pPr>
            <w:r>
              <w:rPr>
                <w:sz w:val="20"/>
              </w:rPr>
              <w:t>654,131.1</w:t>
            </w:r>
          </w:p>
        </w:tc>
        <w:tc>
          <w:tcPr>
            <w:tcW w:w="2160" w:type="dxa"/>
            <w:shd w:val="clear" w:color="auto" w:fill="F0F4FA"/>
          </w:tcPr>
          <w:p w14:paraId="0010025A" w14:textId="0010025B">
            <w:pPr>
              <w:jc w:val="center"/>
            </w:pPr>
            <w:r>
              <w:rPr>
                <w:sz w:val="20"/>
              </w:rPr>
              <w:t>176.46</w:t>
            </w:r>
          </w:p>
        </w:tc>
        <w:tc>
          <w:tcPr>
            <w:tcW w:w="1872" w:type="dxa"/>
            <w:shd w:val="clear" w:color="auto" w:fill="F0F4FA"/>
          </w:tcPr>
          <w:p w14:paraId="0010025C" w14:textId="0010025D">
            <w:pPr>
              <w:jc w:val="center"/>
            </w:pPr>
            <w:r>
              <w:rPr>
                <w:sz w:val="20"/>
              </w:rPr>
              <w:t>320.4</w:t>
            </w:r>
          </w:p>
        </w:tc>
        <w:tc>
          <w:tcPr>
            <w:tcW w:w="1872" w:type="dxa"/>
            <w:shd w:val="clear" w:color="auto" w:fill="F0F4FA"/>
          </w:tcPr>
          <w:p w14:paraId="0010025E" w14:textId="0010025F">
            <w:pPr>
              <w:jc w:val="center"/>
            </w:pPr>
            <w:r>
              <w:rPr>
                <w:sz w:val="20"/>
              </w:rPr>
              <w:t>97.2</w:t>
            </w:r>
          </w:p>
        </w:tc>
      </w:tr>
      <w:tr>
        <w:tc>
          <w:tcPr>
            <w:tcW w:w="2304" w:type="dxa"/>
            <w:shd w:val="clear" w:color="auto" w:fill="FFFFFF"/>
          </w:tcPr>
          <w:p w14:paraId="00100260" w14:textId="00100261">
            <w:pPr>
              <w:jc w:val="center"/>
            </w:pPr>
            <w:r>
              <w:rPr>
                <w:sz w:val="20"/>
              </w:rPr>
              <w:t>Punjab</w:t>
            </w:r>
          </w:p>
        </w:tc>
        <w:tc>
          <w:tcPr>
            <w:tcW w:w="2016" w:type="dxa"/>
            <w:shd w:val="clear" w:color="auto" w:fill="FFFFFF"/>
          </w:tcPr>
          <w:p w14:paraId="00100262" w14:textId="00100263">
            <w:pPr>
              <w:jc w:val="center"/>
            </w:pPr>
            <w:r>
              <w:rPr>
                <w:sz w:val="20"/>
              </w:rPr>
              <w:t>599,283.9</w:t>
            </w:r>
          </w:p>
        </w:tc>
        <w:tc>
          <w:tcPr>
            <w:tcW w:w="2160" w:type="dxa"/>
            <w:shd w:val="clear" w:color="auto" w:fill="FFFFFF"/>
          </w:tcPr>
          <w:p w14:paraId="00100264" w14:textId="00100265">
            <w:pPr>
              <w:jc w:val="center"/>
            </w:pPr>
            <w:r>
              <w:rPr>
                <w:sz w:val="20"/>
              </w:rPr>
              <w:t>161.66</w:t>
            </w:r>
          </w:p>
        </w:tc>
        <w:tc>
          <w:tcPr>
            <w:tcW w:w="1872" w:type="dxa"/>
            <w:shd w:val="clear" w:color="auto" w:fill="FFFFFF"/>
          </w:tcPr>
          <w:p w14:paraId="00100266" w14:textId="00100267">
            <w:pPr>
              <w:jc w:val="center"/>
            </w:pPr>
            <w:r>
              <w:rPr>
                <w:sz w:val="20"/>
              </w:rPr>
              <w:t>365.5</w:t>
            </w:r>
          </w:p>
        </w:tc>
        <w:tc>
          <w:tcPr>
            <w:tcW w:w="1872" w:type="dxa"/>
            <w:shd w:val="clear" w:color="auto" w:fill="FFFFFF"/>
          </w:tcPr>
          <w:p w14:paraId="00100268" w14:textId="00100269">
            <w:pPr>
              <w:jc w:val="center"/>
            </w:pPr>
            <w:r>
              <w:rPr>
                <w:sz w:val="20"/>
              </w:rPr>
              <w:t>56.1</w:t>
            </w:r>
          </w:p>
        </w:tc>
      </w:tr>
    </w:tbl>
    <w:p w14:paraId="0010026A" w14:textId="0010026B">
      <w:pPr>
        <w:spacing w:after="120"/>
      </w:pPr>
    </w:p>
    <w:p w14:paraId="0010026C" w14:textId="0010026D">
      <w:pPr>
        <w:spacing w:before="80" w:after="80"/>
        <w:pBdr>
          <w:bottom w:val="single" w:color="CCCCCC" w:sz="4" w:space="1"/>
        </w:pBdr>
      </w:pPr>
    </w:p>
    <w:p w14:paraId="0010026E" w14:textId="0010026F">
      <w:pPr>
        <w:pStyle w:val="Heading1"/>
      </w:pPr>
      <w:r>
        <w:rPr>
          <w:b/>
          <w:color w:val="1A538E"/>
          <w:sz w:val="28"/>
        </w:rPr>
        <w:t>10. Anomaly Detection</w:t>
      </w:r>
    </w:p>
    <w:p w14:paraId="00100270" w14:textId="00100271">
      <w:pPr>
        <w:spacing w:before="0" w:after="80"/>
      </w:pPr>
      <w:r>
        <w:rPr>
          <w:b w:val="0"/>
          <w:sz w:val="22"/>
        </w:rPr>
        <w:t>Anomaly detection was performed using the Interquartile Range (IQR) method — a robust, distribution-free technique suitable for daily electricity data that may not follow a normal distribution.</w:t>
      </w:r>
    </w:p>
    <w:p w14:paraId="00100272" w14:textId="00100273">
      <w:pPr>
        <w:spacing w:before="0" w:after="80"/>
      </w:pPr>
      <w:r>
        <w:rPr>
          <w:b/>
          <w:sz w:val="21"/>
        </w:rPr>
        <w:t>IQR Method:</w:t>
      </w:r>
    </w:p>
    <w:p w14:paraId="00100274" w14:textId="00100275">
      <w:pPr>
        <w:pStyle w:val="ListBullet"/>
        <w:spacing w:after="60"/>
      </w:pPr>
      <w:r>
        <w:rPr>
          <w:sz w:val="22"/>
        </w:rPr>
        <w:t>Lower Fence = Q1 − 1.5 × IQR  →  1,926.27 MU</w:t>
      </w:r>
    </w:p>
    <w:p w14:paraId="00100276" w14:textId="00100277">
      <w:pPr>
        <w:pStyle w:val="ListBullet"/>
        <w:spacing w:after="60"/>
      </w:pPr>
      <w:r>
        <w:rPr>
          <w:sz w:val="22"/>
        </w:rPr>
        <w:t>Upper Fence = Q3 + 1.5 × IQR  →  5,064.08 MU</w:t>
      </w:r>
    </w:p>
    <w:p w14:paraId="00100278" w14:textId="00100279">
      <w:pPr>
        <w:pStyle w:val="ListBullet"/>
        <w:spacing w:after="60"/>
      </w:pPr>
      <w:r>
        <w:rPr>
          <w:sz w:val="22"/>
        </w:rPr>
        <w:t>Any day outside [Lower Fence, Upper Fence] is labelled 'Anomaly'.</w:t>
      </w:r>
    </w:p>
    <w:p w14:paraId="0010027A" w14:textId="0010027B">
      <w:pPr>
        <w:spacing w:before="120" w:after="40"/>
        <w:jc w:val="center"/>
      </w:pPr>
      <w:r>
        <w:drawing>
          <wp:inline xmlns:a="http://schemas.openxmlformats.org/drawingml/2006/main" xmlns:pic="http://schemas.openxmlformats.org/drawingml/2006/picture">
            <wp:extent cx="5669280" cy="2319251"/>
            <wp:docPr id="8" name="Picture 8"/>
            <wp:cNvGraphicFramePr>
              <a:graphicFrameLocks noChangeAspect="1"/>
            </wp:cNvGraphicFramePr>
            <a:graphic>
              <a:graphicData uri="http://schemas.openxmlformats.org/drawingml/2006/picture">
                <pic:pic>
                  <pic:nvPicPr>
                    <pic:cNvPr id="0" name="fig5_anomaly.png"/>
                    <pic:cNvPicPr/>
                  </pic:nvPicPr>
                  <pic:blipFill>
                    <a:blip r:embed="rId16"/>
                    <a:stretch>
                      <a:fillRect/>
                    </a:stretch>
                  </pic:blipFill>
                  <pic:spPr>
                    <a:xfrm>
                      <a:off x="0" y="0"/>
                      <a:ext cx="5669280" cy="2319251"/>
                    </a:xfrm>
                    <a:prstGeom prst="rect"/>
                  </pic:spPr>
                </pic:pic>
              </a:graphicData>
            </a:graphic>
          </wp:inline>
        </w:drawing>
      </w:r>
    </w:p>
    <w:p w14:paraId="0010027C" w14:textId="0010027D">
      <w:pPr>
        <w:spacing w:after="200"/>
        <w:jc w:val="center"/>
      </w:pPr>
      <w:r>
        <w:rPr>
          <w:i/>
          <w:color w:val="555555"/>
          <w:sz w:val="19"/>
        </w:rPr>
        <w:t>Figure 8 — India Daily Electricity Consumption with IQR Anomaly Detection. Red markers identify the 37 anomalous days. All lie above the upper fence (5,064 MU). IQR fences are shown as dashed reference lines.</w:t>
      </w:r>
    </w:p>
    <w:p w14:paraId="0010027E" w14:textId="0010027F">
      <w:pPr>
        <w:spacing w:before="0" w:after="80"/>
      </w:pPr>
      <w:r>
        <w:rPr>
          <w:b/>
          <w:sz w:val="22"/>
        </w:rPr>
        <w:t>National Anomaly Detection Results</w:t>
      </w:r>
    </w:p>
    <w:tbl>
      <w:tblPr>
        <w:tblStyle w:val="TableGrid"/>
        <w:tblW w:w="0" w:type="auto"/>
        <w:jc w:val="center"/>
        <w:tblLook w:val="04A0" w:firstRow="1" w:lastRow="0" w:firstColumn="1" w:lastColumn="0" w:noHBand="0" w:noVBand="1"/>
      </w:tblPr>
      <w:tblGrid>
        <w:gridCol w:w="4703"/>
        <w:gridCol w:w="4703"/>
      </w:tblGrid>
      <w:tr>
        <w:tc>
          <w:tcPr>
            <w:tcW w:w="4320" w:type="dxa"/>
            <w:shd w:val="clear" w:color="auto" w:fill="EBF3FB"/>
          </w:tcPr>
          <w:p w14:paraId="00100280" w14:textId="00100281">
            <w:r>
              <w:rPr>
                <w:b/>
                <w:sz w:val="21"/>
              </w:rPr>
              <w:t>Total Labelled Days</w:t>
            </w:r>
          </w:p>
        </w:tc>
        <w:tc>
          <w:tcPr>
            <w:tcW w:w="4320" w:type="dxa"/>
            <w:shd w:val="clear" w:color="auto" w:fill="EBF3FB"/>
          </w:tcPr>
          <w:p w14:paraId="00100282" w14:textId="00100283">
            <w:pPr>
              <w:jc w:val="center"/>
            </w:pPr>
            <w:r>
              <w:rPr>
                <w:sz w:val="21"/>
              </w:rPr>
              <w:t>3,707</w:t>
            </w:r>
          </w:p>
        </w:tc>
      </w:tr>
      <w:tr>
        <w:tc>
          <w:tcPr>
            <w:tcW w:w="4320" w:type="dxa"/>
            <w:shd w:val="clear" w:color="auto" w:fill="FFFFFF"/>
          </w:tcPr>
          <w:p w14:paraId="00100284" w14:textId="00100285">
            <w:r>
              <w:rPr>
                <w:b/>
                <w:sz w:val="21"/>
              </w:rPr>
              <w:t>Anomaly Days Detected</w:t>
            </w:r>
          </w:p>
        </w:tc>
        <w:tc>
          <w:tcPr>
            <w:tcW w:w="4320" w:type="dxa"/>
            <w:shd w:val="clear" w:color="auto" w:fill="FFFFFF"/>
          </w:tcPr>
          <w:p w14:paraId="00100286" w14:textId="00100287">
            <w:pPr>
              <w:jc w:val="center"/>
            </w:pPr>
            <w:r>
              <w:rPr>
                <w:sz w:val="21"/>
              </w:rPr>
              <w:t>37  (~1.0% of all records)</w:t>
            </w:r>
          </w:p>
        </w:tc>
      </w:tr>
      <w:tr>
        <w:tc>
          <w:tcPr>
            <w:tcW w:w="4320" w:type="dxa"/>
            <w:shd w:val="clear" w:color="auto" w:fill="EBF3FB"/>
          </w:tcPr>
          <w:p w14:paraId="00100288" w14:textId="00100289">
            <w:r>
              <w:rPr>
                <w:b/>
                <w:sz w:val="21"/>
              </w:rPr>
              <w:t>Below Lower Fence</w:t>
            </w:r>
          </w:p>
        </w:tc>
        <w:tc>
          <w:tcPr>
            <w:tcW w:w="4320" w:type="dxa"/>
            <w:shd w:val="clear" w:color="auto" w:fill="EBF3FB"/>
          </w:tcPr>
          <w:p w14:paraId="0010028A" w14:textId="0010028B">
            <w:pPr>
              <w:jc w:val="center"/>
            </w:pPr>
            <w:r>
              <w:rPr>
                <w:sz w:val="21"/>
              </w:rPr>
              <w:t>0  (no anomalously low days)</w:t>
            </w:r>
          </w:p>
        </w:tc>
      </w:tr>
      <w:tr>
        <w:tc>
          <w:tcPr>
            <w:tcW w:w="4320" w:type="dxa"/>
            <w:shd w:val="clear" w:color="auto" w:fill="FFFFFF"/>
          </w:tcPr>
          <w:p w14:paraId="0010028C" w14:textId="0010028D">
            <w:r>
              <w:rPr>
                <w:b/>
                <w:sz w:val="21"/>
              </w:rPr>
              <w:t>Above Upper Fence</w:t>
            </w:r>
          </w:p>
        </w:tc>
        <w:tc>
          <w:tcPr>
            <w:tcW w:w="4320" w:type="dxa"/>
            <w:shd w:val="clear" w:color="auto" w:fill="FFFFFF"/>
          </w:tcPr>
          <w:p w14:paraId="0010028E" w14:textId="0010028F">
            <w:pPr>
              <w:jc w:val="center"/>
            </w:pPr>
            <w:r>
              <w:rPr>
                <w:sz w:val="21"/>
              </w:rPr>
              <w:t>37</w:t>
            </w:r>
          </w:p>
        </w:tc>
      </w:tr>
      <w:tr>
        <w:tc>
          <w:tcPr>
            <w:tcW w:w="4320" w:type="dxa"/>
            <w:shd w:val="clear" w:color="auto" w:fill="EBF3FB"/>
          </w:tcPr>
          <w:p w14:paraId="00100290" w14:textId="00100291">
            <w:r>
              <w:rPr>
                <w:b/>
                <w:sz w:val="21"/>
              </w:rPr>
              <w:t>Lower Fence</w:t>
            </w:r>
          </w:p>
        </w:tc>
        <w:tc>
          <w:tcPr>
            <w:tcW w:w="4320" w:type="dxa"/>
            <w:shd w:val="clear" w:color="auto" w:fill="EBF3FB"/>
          </w:tcPr>
          <w:p w14:paraId="00100292" w14:textId="00100293">
            <w:pPr>
              <w:jc w:val="center"/>
            </w:pPr>
            <w:r>
              <w:rPr>
                <w:sz w:val="21"/>
              </w:rPr>
              <w:t>1,926.27 MU</w:t>
            </w:r>
          </w:p>
        </w:tc>
      </w:tr>
      <w:tr>
        <w:tc>
          <w:tcPr>
            <w:tcW w:w="4320" w:type="dxa"/>
            <w:shd w:val="clear" w:color="auto" w:fill="FFFFFF"/>
          </w:tcPr>
          <w:p w14:paraId="00100294" w14:textId="00100295">
            <w:r>
              <w:rPr>
                <w:b/>
                <w:sz w:val="21"/>
              </w:rPr>
              <w:t>Upper Fence</w:t>
            </w:r>
          </w:p>
        </w:tc>
        <w:tc>
          <w:tcPr>
            <w:tcW w:w="4320" w:type="dxa"/>
            <w:shd w:val="clear" w:color="auto" w:fill="FFFFFF"/>
          </w:tcPr>
          <w:p w14:paraId="00100296" w14:textId="00100297">
            <w:pPr>
              <w:jc w:val="center"/>
            </w:pPr>
            <w:r>
              <w:rPr>
                <w:sz w:val="21"/>
              </w:rPr>
              <w:t>5,064.08 MU</w:t>
            </w:r>
          </w:p>
        </w:tc>
      </w:tr>
      <w:tr>
        <w:tc>
          <w:tcPr>
            <w:tcW w:w="4320" w:type="dxa"/>
            <w:shd w:val="clear" w:color="auto" w:fill="EBF3FB"/>
          </w:tcPr>
          <w:p w14:paraId="00100298" w14:textId="00100299">
            <w:r>
              <w:rPr>
                <w:b/>
                <w:sz w:val="21"/>
              </w:rPr>
              <w:t>Anomaly Distribution by Year</w:t>
            </w:r>
          </w:p>
        </w:tc>
        <w:tc>
          <w:tcPr>
            <w:tcW w:w="4320" w:type="dxa"/>
            <w:shd w:val="clear" w:color="auto" w:fill="EBF3FB"/>
          </w:tcPr>
          <w:p w14:paraId="0010029A" w14:textId="0010029B">
            <w:pPr>
              <w:jc w:val="center"/>
            </w:pPr>
            <w:r>
              <w:rPr>
                <w:sz w:val="21"/>
              </w:rPr>
              <w:t>2023: 7 days  |  2024: 30 days</w:t>
            </w:r>
          </w:p>
        </w:tc>
      </w:tr>
      <w:tr>
        <w:tc>
          <w:tcPr>
            <w:tcW w:w="4320" w:type="dxa"/>
            <w:shd w:val="clear" w:color="auto" w:fill="FFFFFF"/>
          </w:tcPr>
          <w:p w14:paraId="0010029C" w14:textId="0010029D">
            <w:r>
              <w:rPr>
                <w:b/>
                <w:sz w:val="21"/>
              </w:rPr>
              <w:t>Anomaly Distribution by Month</w:t>
            </w:r>
          </w:p>
        </w:tc>
        <w:tc>
          <w:tcPr>
            <w:tcW w:w="4320" w:type="dxa"/>
            <w:shd w:val="clear" w:color="auto" w:fill="FFFFFF"/>
          </w:tcPr>
          <w:p w14:paraId="0010029E" w14:textId="0010029F">
            <w:pPr>
              <w:jc w:val="center"/>
            </w:pPr>
            <w:r>
              <w:rPr>
                <w:sz w:val="21"/>
              </w:rPr>
              <w:t>Apr: 1  |  May: 8  |  Jun: 18  |  Jul: 1  |  Aug: 5  |  Sep: 4</w:t>
            </w:r>
          </w:p>
        </w:tc>
      </w:tr>
    </w:tbl>
    <w:p w14:paraId="001002A0" w14:textId="001002A1">
      <w:pPr>
        <w:spacing w:after="120"/>
      </w:pPr>
    </w:p>
    <w:p w14:paraId="001002A2" w14:textId="001002A3">
      <w:pPr>
        <w:spacing w:before="0" w:after="80"/>
      </w:pPr>
      <w:r>
        <w:rPr>
          <w:b/>
          <w:sz w:val="22"/>
        </w:rPr>
        <w:t>Top 10 Anomalous Days (Highest Consumption)</w:t>
      </w:r>
    </w:p>
    <w:tbl>
      <w:tblPr>
        <w:tblStyle w:val="TableGrid"/>
        <w:tblW w:w="0" w:type="auto"/>
        <w:jc w:val="center"/>
        <w:tblLook w:val="04A0" w:firstRow="1" w:lastRow="0" w:firstColumn="1" w:lastColumn="0" w:noHBand="0" w:noVBand="1"/>
      </w:tblPr>
      <w:tblGrid>
        <w:gridCol w:w="4703"/>
        <w:gridCol w:w="4703"/>
      </w:tblGrid>
      <w:tr>
        <w:tc>
          <w:tcPr>
            <w:tcW w:w="2880" w:type="dxa"/>
            <w:shd w:val="clear" w:color="auto" w:fill="1A538E"/>
          </w:tcPr>
          <w:p w14:paraId="001002A4" w14:textId="001002A5">
            <w:pPr>
              <w:jc w:val="center"/>
            </w:pPr>
            <w:r>
              <w:rPr>
                <w:b/>
                <w:color w:val="FFFFFF"/>
                <w:sz w:val="20"/>
              </w:rPr>
              <w:t>Date</w:t>
            </w:r>
          </w:p>
        </w:tc>
        <w:tc>
          <w:tcPr>
            <w:tcW w:w="3600" w:type="dxa"/>
            <w:shd w:val="clear" w:color="auto" w:fill="1A538E"/>
          </w:tcPr>
          <w:p w14:paraId="001002A6" w14:textId="001002A7">
            <w:pPr>
              <w:jc w:val="center"/>
            </w:pPr>
            <w:r>
              <w:rPr>
                <w:b/>
                <w:color w:val="FFFFFF"/>
                <w:sz w:val="20"/>
              </w:rPr>
              <w:t>Total Consumption (MU)</w:t>
            </w:r>
          </w:p>
        </w:tc>
      </w:tr>
      <w:tr>
        <w:tc>
          <w:tcPr>
            <w:tcW w:w="2880" w:type="dxa"/>
            <w:shd w:val="clear" w:color="auto" w:fill="F0F4FA"/>
          </w:tcPr>
          <w:p w14:paraId="001002A8" w14:textId="001002A9">
            <w:pPr>
              <w:jc w:val="center"/>
            </w:pPr>
            <w:r>
              <w:rPr>
                <w:sz w:val="20"/>
              </w:rPr>
              <w:t>2024-05-30</w:t>
            </w:r>
          </w:p>
        </w:tc>
        <w:tc>
          <w:tcPr>
            <w:tcW w:w="3600" w:type="dxa"/>
            <w:shd w:val="clear" w:color="auto" w:fill="F0F4FA"/>
          </w:tcPr>
          <w:p w14:paraId="001002AA" w14:textId="001002AB">
            <w:pPr>
              <w:jc w:val="center"/>
            </w:pPr>
            <w:r>
              <w:rPr>
                <w:sz w:val="20"/>
              </w:rPr>
              <w:t>5,460.70</w:t>
            </w:r>
          </w:p>
        </w:tc>
      </w:tr>
      <w:tr>
        <w:tc>
          <w:tcPr>
            <w:tcW w:w="2880" w:type="dxa"/>
            <w:shd w:val="clear" w:color="auto" w:fill="FFFFFF"/>
          </w:tcPr>
          <w:p w14:paraId="001002AC" w14:textId="001002AD">
            <w:pPr>
              <w:jc w:val="center"/>
            </w:pPr>
            <w:r>
              <w:rPr>
                <w:sz w:val="20"/>
              </w:rPr>
              <w:t>2024-05-31</w:t>
            </w:r>
          </w:p>
        </w:tc>
        <w:tc>
          <w:tcPr>
            <w:tcW w:w="3600" w:type="dxa"/>
            <w:shd w:val="clear" w:color="auto" w:fill="FFFFFF"/>
          </w:tcPr>
          <w:p w14:paraId="001002AE" w14:textId="001002AF">
            <w:pPr>
              <w:jc w:val="center"/>
            </w:pPr>
            <w:r>
              <w:rPr>
                <w:sz w:val="20"/>
              </w:rPr>
              <w:t>5,409.60</w:t>
            </w:r>
          </w:p>
        </w:tc>
      </w:tr>
      <w:tr>
        <w:tc>
          <w:tcPr>
            <w:tcW w:w="2880" w:type="dxa"/>
            <w:shd w:val="clear" w:color="auto" w:fill="F0F4FA"/>
          </w:tcPr>
          <w:p w14:paraId="001002B0" w14:textId="001002B1">
            <w:pPr>
              <w:jc w:val="center"/>
            </w:pPr>
            <w:r>
              <w:rPr>
                <w:sz w:val="20"/>
              </w:rPr>
              <w:t>2024-05-29</w:t>
            </w:r>
          </w:p>
        </w:tc>
        <w:tc>
          <w:tcPr>
            <w:tcW w:w="3600" w:type="dxa"/>
            <w:shd w:val="clear" w:color="auto" w:fill="F0F4FA"/>
          </w:tcPr>
          <w:p w14:paraId="001002B2" w14:textId="001002B3">
            <w:pPr>
              <w:jc w:val="center"/>
            </w:pPr>
            <w:r>
              <w:rPr>
                <w:sz w:val="20"/>
              </w:rPr>
              <w:t>5,403.00</w:t>
            </w:r>
          </w:p>
        </w:tc>
      </w:tr>
      <w:tr>
        <w:tc>
          <w:tcPr>
            <w:tcW w:w="2880" w:type="dxa"/>
            <w:shd w:val="clear" w:color="auto" w:fill="FFFFFF"/>
          </w:tcPr>
          <w:p w14:paraId="001002B4" w14:textId="001002B5">
            <w:pPr>
              <w:jc w:val="center"/>
            </w:pPr>
            <w:r>
              <w:rPr>
                <w:sz w:val="20"/>
              </w:rPr>
              <w:t>2024-06-18</w:t>
            </w:r>
          </w:p>
        </w:tc>
        <w:tc>
          <w:tcPr>
            <w:tcW w:w="3600" w:type="dxa"/>
            <w:shd w:val="clear" w:color="auto" w:fill="FFFFFF"/>
          </w:tcPr>
          <w:p w14:paraId="001002B6" w14:textId="001002B7">
            <w:pPr>
              <w:jc w:val="center"/>
            </w:pPr>
            <w:r>
              <w:rPr>
                <w:sz w:val="20"/>
              </w:rPr>
              <w:t>5,309.90</w:t>
            </w:r>
          </w:p>
        </w:tc>
      </w:tr>
      <w:tr>
        <w:tc>
          <w:tcPr>
            <w:tcW w:w="2880" w:type="dxa"/>
            <w:shd w:val="clear" w:color="auto" w:fill="F0F4FA"/>
          </w:tcPr>
          <w:p w14:paraId="001002B8" w14:textId="001002B9">
            <w:pPr>
              <w:jc w:val="center"/>
            </w:pPr>
            <w:r>
              <w:rPr>
                <w:sz w:val="20"/>
              </w:rPr>
              <w:t>2024-06-17</w:t>
            </w:r>
          </w:p>
        </w:tc>
        <w:tc>
          <w:tcPr>
            <w:tcW w:w="3600" w:type="dxa"/>
            <w:shd w:val="clear" w:color="auto" w:fill="F0F4FA"/>
          </w:tcPr>
          <w:p w14:paraId="001002BA" w14:textId="001002BB">
            <w:pPr>
              <w:jc w:val="center"/>
            </w:pPr>
            <w:r>
              <w:rPr>
                <w:sz w:val="20"/>
              </w:rPr>
              <w:t>5,303.10</w:t>
            </w:r>
          </w:p>
        </w:tc>
      </w:tr>
      <w:tr>
        <w:tc>
          <w:tcPr>
            <w:tcW w:w="2880" w:type="dxa"/>
            <w:shd w:val="clear" w:color="auto" w:fill="FFFFFF"/>
          </w:tcPr>
          <w:p w14:paraId="001002BC" w14:textId="001002BD">
            <w:pPr>
              <w:jc w:val="center"/>
            </w:pPr>
            <w:r>
              <w:rPr>
                <w:sz w:val="20"/>
              </w:rPr>
              <w:t>2024-06-01</w:t>
            </w:r>
          </w:p>
        </w:tc>
        <w:tc>
          <w:tcPr>
            <w:tcW w:w="3600" w:type="dxa"/>
            <w:shd w:val="clear" w:color="auto" w:fill="FFFFFF"/>
          </w:tcPr>
          <w:p w14:paraId="001002BE" w14:textId="001002BF">
            <w:pPr>
              <w:jc w:val="center"/>
            </w:pPr>
            <w:r>
              <w:rPr>
                <w:sz w:val="20"/>
              </w:rPr>
              <w:t>5,283.30</w:t>
            </w:r>
          </w:p>
        </w:tc>
      </w:tr>
      <w:tr>
        <w:tc>
          <w:tcPr>
            <w:tcW w:w="2880" w:type="dxa"/>
            <w:shd w:val="clear" w:color="auto" w:fill="F0F4FA"/>
          </w:tcPr>
          <w:p w14:paraId="001002C0" w14:textId="001002C1">
            <w:pPr>
              <w:jc w:val="center"/>
            </w:pPr>
            <w:r>
              <w:rPr>
                <w:sz w:val="20"/>
              </w:rPr>
              <w:t>2024-05-28</w:t>
            </w:r>
          </w:p>
        </w:tc>
        <w:tc>
          <w:tcPr>
            <w:tcW w:w="3600" w:type="dxa"/>
            <w:shd w:val="clear" w:color="auto" w:fill="F0F4FA"/>
          </w:tcPr>
          <w:p w14:paraId="001002C2" w14:textId="001002C3">
            <w:pPr>
              <w:jc w:val="center"/>
            </w:pPr>
            <w:r>
              <w:rPr>
                <w:sz w:val="20"/>
              </w:rPr>
              <w:t>5,255.60</w:t>
            </w:r>
          </w:p>
        </w:tc>
      </w:tr>
      <w:tr>
        <w:tc>
          <w:tcPr>
            <w:tcW w:w="2880" w:type="dxa"/>
            <w:shd w:val="clear" w:color="auto" w:fill="FFFFFF"/>
          </w:tcPr>
          <w:p w14:paraId="001002C4" w14:textId="001002C5">
            <w:pPr>
              <w:jc w:val="center"/>
            </w:pPr>
            <w:r>
              <w:rPr>
                <w:sz w:val="20"/>
              </w:rPr>
              <w:t>2024-06-15</w:t>
            </w:r>
          </w:p>
        </w:tc>
        <w:tc>
          <w:tcPr>
            <w:tcW w:w="3600" w:type="dxa"/>
            <w:shd w:val="clear" w:color="auto" w:fill="FFFFFF"/>
          </w:tcPr>
          <w:p w14:paraId="001002C6" w14:textId="001002C7">
            <w:pPr>
              <w:jc w:val="center"/>
            </w:pPr>
            <w:r>
              <w:rPr>
                <w:sz w:val="20"/>
              </w:rPr>
              <w:t>5,246.60</w:t>
            </w:r>
          </w:p>
        </w:tc>
      </w:tr>
      <w:tr>
        <w:tc>
          <w:tcPr>
            <w:tcW w:w="2880" w:type="dxa"/>
            <w:shd w:val="clear" w:color="auto" w:fill="F0F4FA"/>
          </w:tcPr>
          <w:p w14:paraId="001002C8" w14:textId="001002C9">
            <w:pPr>
              <w:jc w:val="center"/>
            </w:pPr>
            <w:r>
              <w:rPr>
                <w:sz w:val="20"/>
              </w:rPr>
              <w:t>2024-06-19</w:t>
            </w:r>
          </w:p>
        </w:tc>
        <w:tc>
          <w:tcPr>
            <w:tcW w:w="3600" w:type="dxa"/>
            <w:shd w:val="clear" w:color="auto" w:fill="F0F4FA"/>
          </w:tcPr>
          <w:p w14:paraId="001002CA" w14:textId="001002CB">
            <w:pPr>
              <w:jc w:val="center"/>
            </w:pPr>
            <w:r>
              <w:rPr>
                <w:sz w:val="20"/>
              </w:rPr>
              <w:t>5,233.40</w:t>
            </w:r>
          </w:p>
        </w:tc>
      </w:tr>
      <w:tr>
        <w:tc>
          <w:tcPr>
            <w:tcW w:w="2880" w:type="dxa"/>
            <w:shd w:val="clear" w:color="auto" w:fill="FFFFFF"/>
          </w:tcPr>
          <w:p w14:paraId="001002CC" w14:textId="001002CD">
            <w:pPr>
              <w:jc w:val="center"/>
            </w:pPr>
            <w:r>
              <w:rPr>
                <w:sz w:val="20"/>
              </w:rPr>
              <w:t>2023-09-02</w:t>
            </w:r>
          </w:p>
        </w:tc>
        <w:tc>
          <w:tcPr>
            <w:tcW w:w="3600" w:type="dxa"/>
            <w:shd w:val="clear" w:color="auto" w:fill="FFFFFF"/>
          </w:tcPr>
          <w:p w14:paraId="001002CE" w14:textId="001002CF">
            <w:pPr>
              <w:jc w:val="center"/>
            </w:pPr>
            <w:r>
              <w:rPr>
                <w:sz w:val="20"/>
              </w:rPr>
              <w:t>5,224.30</w:t>
            </w:r>
          </w:p>
        </w:tc>
      </w:tr>
    </w:tbl>
    <w:p w14:paraId="001002D0" w14:textId="001002D1">
      <w:pPr>
        <w:spacing w:after="120"/>
      </w:pPr>
    </w:p>
    <w:p w14:paraId="001002D2" w14:textId="001002D3">
      <w:pPr>
        <w:spacing w:before="0" w:after="80"/>
      </w:pPr>
      <w:r>
        <w:rPr>
          <w:b w:val="0"/>
          <w:color w:val="646464"/>
          <w:sz w:val="20"/>
        </w:rPr>
        <w:t>Note: All 37 anomalies are positive spikes above the upper IQR fence. The concentration in 2024 and in the April–September window is observable from the data; however, causal attribution (e.g. heatwaves) is not established within this dataset alone.</w:t>
      </w:r>
    </w:p>
    <w:p w14:paraId="001002D4" w14:textId="001002D5">
      <w:pPr>
        <w:spacing w:before="80" w:after="80"/>
        <w:pBdr>
          <w:bottom w:val="single" w:color="CCCCCC" w:sz="4" w:space="1"/>
        </w:pBdr>
      </w:pPr>
    </w:p>
    <w:p w14:paraId="001002D6" w14:textId="001002D7">
      <w:pPr>
        <w:pStyle w:val="Heading1"/>
      </w:pPr>
      <w:r>
        <w:rPr>
          <w:b/>
          <w:color w:val="1A538E"/>
          <w:sz w:val="28"/>
        </w:rPr>
        <w:t>11. Forecasting Methodology</w:t>
      </w:r>
    </w:p>
    <w:p w14:paraId="001002D8" w14:textId="001002D9">
      <w:pPr>
        <w:spacing w:before="0" w:after="80"/>
      </w:pPr>
      <w:r>
        <w:rPr>
          <w:b/>
          <w:sz w:val="22"/>
        </w:rPr>
        <w:t>Model: Holt-Winters Exponential Smoothing (Triple Exponential Smoothing)</w:t>
      </w:r>
    </w:p>
    <w:p w14:paraId="001002DA" w14:textId="001002DB">
      <w:pPr>
        <w:spacing w:before="0" w:after="80"/>
      </w:pPr>
      <w:r>
        <w:rPr>
          <w:b w:val="0"/>
          <w:sz w:val="22"/>
        </w:rPr>
        <w:t>Holt-Winters was selected because the national consumption series exhibits three well-defined components that this model captures explicitly: Level (baseline), Trend (long-term direction), and Seasonality (repeating annual patterns).</w:t>
      </w:r>
    </w:p>
    <w:tbl>
      <w:tblPr>
        <w:tblStyle w:val="TableGrid"/>
        <w:tblW w:w="0" w:type="auto"/>
        <w:jc w:val="center"/>
        <w:tblLook w:val="04A0" w:firstRow="1" w:lastRow="0" w:firstColumn="1" w:lastColumn="0" w:noHBand="0" w:noVBand="1"/>
      </w:tblPr>
      <w:tblGrid>
        <w:gridCol w:w="3135"/>
        <w:gridCol w:w="3135"/>
        <w:gridCol w:w="3135"/>
      </w:tblGrid>
      <w:tr>
        <w:tc>
          <w:tcPr>
            <w:tcW w:w="2592" w:type="dxa"/>
            <w:shd w:val="clear" w:color="auto" w:fill="1A538E"/>
          </w:tcPr>
          <w:p w14:paraId="001002DC" w14:textId="001002DD">
            <w:pPr>
              <w:jc w:val="center"/>
            </w:pPr>
            <w:r>
              <w:rPr>
                <w:b/>
                <w:color w:val="FFFFFF"/>
                <w:sz w:val="20"/>
              </w:rPr>
              <w:t>Parameter</w:t>
            </w:r>
          </w:p>
        </w:tc>
        <w:tc>
          <w:tcPr>
            <w:tcW w:w="2016" w:type="dxa"/>
            <w:shd w:val="clear" w:color="auto" w:fill="1A538E"/>
          </w:tcPr>
          <w:p w14:paraId="001002DE" w14:textId="001002DF">
            <w:pPr>
              <w:jc w:val="center"/>
            </w:pPr>
            <w:r>
              <w:rPr>
                <w:b/>
                <w:color w:val="FFFFFF"/>
                <w:sz w:val="20"/>
              </w:rPr>
              <w:t>Value</w:t>
            </w:r>
          </w:p>
        </w:tc>
        <w:tc>
          <w:tcPr>
            <w:tcW w:w="4320" w:type="dxa"/>
            <w:shd w:val="clear" w:color="auto" w:fill="1A538E"/>
          </w:tcPr>
          <w:p w14:paraId="001002E0" w14:textId="001002E1">
            <w:pPr>
              <w:jc w:val="center"/>
            </w:pPr>
            <w:r>
              <w:rPr>
                <w:b/>
                <w:color w:val="FFFFFF"/>
                <w:sz w:val="20"/>
              </w:rPr>
              <w:t>Rationale</w:t>
            </w:r>
          </w:p>
        </w:tc>
      </w:tr>
      <w:tr>
        <w:tc>
          <w:tcPr>
            <w:tcW w:w="2592" w:type="dxa"/>
            <w:shd w:val="clear" w:color="auto" w:fill="F0F4FA"/>
          </w:tcPr>
          <w:p w14:paraId="001002E2" w14:textId="001002E3">
            <w:pPr>
              <w:jc w:val="center"/>
            </w:pPr>
            <w:r>
              <w:rPr>
                <w:sz w:val="20"/>
              </w:rPr>
              <w:t>trend</w:t>
            </w:r>
          </w:p>
        </w:tc>
        <w:tc>
          <w:tcPr>
            <w:tcW w:w="2016" w:type="dxa"/>
            <w:shd w:val="clear" w:color="auto" w:fill="F0F4FA"/>
          </w:tcPr>
          <w:p w14:paraId="001002E4" w14:textId="001002E5">
            <w:pPr>
              <w:jc w:val="center"/>
            </w:pPr>
            <w:r>
              <w:rPr>
                <w:sz w:val="20"/>
              </w:rPr>
              <w:t>additive</w:t>
            </w:r>
          </w:p>
        </w:tc>
        <w:tc>
          <w:tcPr>
            <w:tcW w:w="4320" w:type="dxa"/>
            <w:shd w:val="clear" w:color="auto" w:fill="F0F4FA"/>
          </w:tcPr>
          <w:p w14:paraId="001002E6" w14:textId="001002E7">
            <w:pPr>
              <w:jc w:val="center"/>
            </w:pPr>
            <w:r>
              <w:rPr>
                <w:sz w:val="20"/>
              </w:rPr>
              <w:t>Growth does not accelerate multiplicatively</w:t>
            </w:r>
          </w:p>
        </w:tc>
      </w:tr>
      <w:tr>
        <w:tc>
          <w:tcPr>
            <w:tcW w:w="2592" w:type="dxa"/>
            <w:shd w:val="clear" w:color="auto" w:fill="FFFFFF"/>
          </w:tcPr>
          <w:p w14:paraId="001002E8" w14:textId="001002E9">
            <w:pPr>
              <w:jc w:val="center"/>
            </w:pPr>
            <w:r>
              <w:rPr>
                <w:sz w:val="20"/>
              </w:rPr>
              <w:t>seasonal</w:t>
            </w:r>
          </w:p>
        </w:tc>
        <w:tc>
          <w:tcPr>
            <w:tcW w:w="2016" w:type="dxa"/>
            <w:shd w:val="clear" w:color="auto" w:fill="FFFFFF"/>
          </w:tcPr>
          <w:p w14:paraId="001002EA" w14:textId="001002EB">
            <w:pPr>
              <w:jc w:val="center"/>
            </w:pPr>
            <w:r>
              <w:rPr>
                <w:sz w:val="20"/>
              </w:rPr>
              <w:t>additive</w:t>
            </w:r>
          </w:p>
        </w:tc>
        <w:tc>
          <w:tcPr>
            <w:tcW w:w="4320" w:type="dxa"/>
            <w:shd w:val="clear" w:color="auto" w:fill="FFFFFF"/>
          </w:tcPr>
          <w:p w14:paraId="001002EC" w14:textId="001002ED">
            <w:pPr>
              <w:jc w:val="center"/>
            </w:pPr>
            <w:r>
              <w:rPr>
                <w:sz w:val="20"/>
              </w:rPr>
              <w:t>Seasonal amplitude is roughly constant over time</w:t>
            </w:r>
          </w:p>
        </w:tc>
      </w:tr>
      <w:tr>
        <w:tc>
          <w:tcPr>
            <w:tcW w:w="2592" w:type="dxa"/>
            <w:shd w:val="clear" w:color="auto" w:fill="F0F4FA"/>
          </w:tcPr>
          <w:p w14:paraId="001002EE" w14:textId="001002EF">
            <w:pPr>
              <w:jc w:val="center"/>
            </w:pPr>
            <w:r>
              <w:rPr>
                <w:sz w:val="20"/>
              </w:rPr>
              <w:t>seasonal_periods</w:t>
            </w:r>
          </w:p>
        </w:tc>
        <w:tc>
          <w:tcPr>
            <w:tcW w:w="2016" w:type="dxa"/>
            <w:shd w:val="clear" w:color="auto" w:fill="F0F4FA"/>
          </w:tcPr>
          <w:p w14:paraId="001002F0" w14:textId="001002F1">
            <w:pPr>
              <w:jc w:val="center"/>
            </w:pPr>
            <w:r>
              <w:rPr>
                <w:sz w:val="20"/>
              </w:rPr>
              <w:t>365</w:t>
            </w:r>
          </w:p>
        </w:tc>
        <w:tc>
          <w:tcPr>
            <w:tcW w:w="4320" w:type="dxa"/>
            <w:shd w:val="clear" w:color="auto" w:fill="F0F4FA"/>
          </w:tcPr>
          <w:p w14:paraId="001002F2" w14:textId="001002F3">
            <w:pPr>
              <w:jc w:val="center"/>
            </w:pPr>
            <w:r>
              <w:rPr>
                <w:sz w:val="20"/>
              </w:rPr>
              <w:t>Annual seasonality in daily data</w:t>
            </w:r>
          </w:p>
        </w:tc>
      </w:tr>
      <w:tr>
        <w:tc>
          <w:tcPr>
            <w:tcW w:w="2592" w:type="dxa"/>
            <w:shd w:val="clear" w:color="auto" w:fill="FFFFFF"/>
          </w:tcPr>
          <w:p w14:paraId="001002F4" w14:textId="001002F5">
            <w:pPr>
              <w:jc w:val="center"/>
            </w:pPr>
            <w:r>
              <w:rPr>
                <w:sz w:val="20"/>
              </w:rPr>
              <w:t>initialization_method</w:t>
            </w:r>
          </w:p>
        </w:tc>
        <w:tc>
          <w:tcPr>
            <w:tcW w:w="2016" w:type="dxa"/>
            <w:shd w:val="clear" w:color="auto" w:fill="FFFFFF"/>
          </w:tcPr>
          <w:p w14:paraId="001002F6" w14:textId="001002F7">
            <w:pPr>
              <w:jc w:val="center"/>
            </w:pPr>
            <w:r>
              <w:rPr>
                <w:sz w:val="20"/>
              </w:rPr>
              <w:t>estimated</w:t>
            </w:r>
          </w:p>
        </w:tc>
        <w:tc>
          <w:tcPr>
            <w:tcW w:w="4320" w:type="dxa"/>
            <w:shd w:val="clear" w:color="auto" w:fill="FFFFFF"/>
          </w:tcPr>
          <w:p w14:paraId="001002F8" w14:textId="001002F9">
            <w:pPr>
              <w:jc w:val="center"/>
            </w:pPr>
            <w:r>
              <w:rPr>
                <w:sz w:val="20"/>
              </w:rPr>
              <w:t>Fitted from data — more robust than heuristic</w:t>
            </w:r>
          </w:p>
        </w:tc>
      </w:tr>
      <w:tr>
        <w:tc>
          <w:tcPr>
            <w:tcW w:w="2592" w:type="dxa"/>
            <w:shd w:val="clear" w:color="auto" w:fill="F0F4FA"/>
          </w:tcPr>
          <w:p w14:paraId="001002FA" w14:textId="001002FB">
            <w:pPr>
              <w:jc w:val="center"/>
            </w:pPr>
            <w:r>
              <w:rPr>
                <w:sz w:val="20"/>
              </w:rPr>
              <w:t>optimized</w:t>
            </w:r>
          </w:p>
        </w:tc>
        <w:tc>
          <w:tcPr>
            <w:tcW w:w="2016" w:type="dxa"/>
            <w:shd w:val="clear" w:color="auto" w:fill="F0F4FA"/>
          </w:tcPr>
          <w:p w14:paraId="001002FC" w14:textId="001002FD">
            <w:pPr>
              <w:jc w:val="center"/>
            </w:pPr>
            <w:r>
              <w:rPr>
                <w:sz w:val="20"/>
              </w:rPr>
              <w:t>True</w:t>
            </w:r>
          </w:p>
        </w:tc>
        <w:tc>
          <w:tcPr>
            <w:tcW w:w="4320" w:type="dxa"/>
            <w:shd w:val="clear" w:color="auto" w:fill="F0F4FA"/>
          </w:tcPr>
          <w:p w14:paraId="001002FE" w14:textId="001002FF">
            <w:pPr>
              <w:jc w:val="center"/>
            </w:pPr>
            <w:r>
              <w:rPr>
                <w:sz w:val="20"/>
              </w:rPr>
              <w:t>Optimizer finds best smoothing parameters</w:t>
            </w:r>
          </w:p>
        </w:tc>
      </w:tr>
      <w:tr>
        <w:tc>
          <w:tcPr>
            <w:tcW w:w="2592" w:type="dxa"/>
            <w:shd w:val="clear" w:color="auto" w:fill="FFFFFF"/>
          </w:tcPr>
          <w:p w14:paraId="00100300" w14:textId="00100301">
            <w:pPr>
              <w:jc w:val="center"/>
            </w:pPr>
            <w:r>
              <w:rPr>
                <w:sz w:val="20"/>
              </w:rPr>
              <w:t>use_brute</w:t>
            </w:r>
          </w:p>
        </w:tc>
        <w:tc>
          <w:tcPr>
            <w:tcW w:w="2016" w:type="dxa"/>
            <w:shd w:val="clear" w:color="auto" w:fill="FFFFFF"/>
          </w:tcPr>
          <w:p w14:paraId="00100302" w14:textId="00100303">
            <w:pPr>
              <w:jc w:val="center"/>
            </w:pPr>
            <w:r>
              <w:rPr>
                <w:sz w:val="20"/>
              </w:rPr>
              <w:t>True</w:t>
            </w:r>
          </w:p>
        </w:tc>
        <w:tc>
          <w:tcPr>
            <w:tcW w:w="4320" w:type="dxa"/>
            <w:shd w:val="clear" w:color="auto" w:fill="FFFFFF"/>
          </w:tcPr>
          <w:p w14:paraId="00100304" w14:textId="00100305">
            <w:pPr>
              <w:jc w:val="center"/>
            </w:pPr>
            <w:r>
              <w:rPr>
                <w:sz w:val="20"/>
              </w:rPr>
              <w:t>Grid search for starting values — avoids local minima</w:t>
            </w:r>
          </w:p>
        </w:tc>
      </w:tr>
    </w:tbl>
    <w:p w14:paraId="00100306" w14:textId="00100307">
      <w:pPr>
        <w:spacing w:after="120"/>
      </w:pPr>
    </w:p>
    <w:p w14:paraId="00100308" w14:textId="00100309">
      <w:pPr>
        <w:spacing w:before="0" w:after="80"/>
      </w:pPr>
      <w:r>
        <w:rPr>
          <w:b/>
          <w:sz w:val="21"/>
        </w:rPr>
        <w:t>Data Pre-processing for Forecasting:</w:t>
      </w:r>
    </w:p>
    <w:p w14:paraId="0010030A" w14:textId="0010030B">
      <w:pPr>
        <w:spacing w:before="0" w:after="80"/>
      </w:pPr>
      <w:r>
        <w:rPr>
          <w:b w:val="0"/>
          <w:sz w:val="21"/>
        </w:rPr>
        <w:t>Because 578 calendar dates are absent from the raw dataset, the series is reindexed to a complete daily date range and missing Total Consumption values are linearly interpolated before model fitting. This avoids errors from irregular spacing. Original (non-interpolated) values are used for all other analysis.</w:t>
      </w:r>
    </w:p>
    <w:p w14:paraId="0010030C" w14:textId="0010030D">
      <w:pPr>
        <w:spacing w:before="0" w:after="80"/>
      </w:pPr>
      <w:r>
        <w:rPr>
          <w:b/>
          <w:sz w:val="21"/>
        </w:rPr>
        <w:t>Train / Test Split:</w:t>
      </w:r>
    </w:p>
    <w:tbl>
      <w:tblPr>
        <w:tblStyle w:val="TableGrid"/>
        <w:tblW w:w="0" w:type="auto"/>
        <w:jc w:val="center"/>
        <w:tblLook w:val="04A0" w:firstRow="1" w:lastRow="0" w:firstColumn="1" w:lastColumn="0" w:noHBand="0" w:noVBand="1"/>
      </w:tblPr>
      <w:tblGrid>
        <w:gridCol w:w="3135"/>
        <w:gridCol w:w="3135"/>
        <w:gridCol w:w="3135"/>
      </w:tblGrid>
      <w:tr>
        <w:tc>
          <w:tcPr>
            <w:tcW w:w="2160" w:type="dxa"/>
            <w:shd w:val="clear" w:color="auto" w:fill="1A538E"/>
          </w:tcPr>
          <w:p w14:paraId="0010030E" w14:textId="0010030F">
            <w:pPr>
              <w:jc w:val="center"/>
            </w:pPr>
            <w:r>
              <w:rPr>
                <w:b/>
                <w:color w:val="FFFFFF"/>
                <w:sz w:val="20"/>
              </w:rPr>
              <w:t>Split</w:t>
            </w:r>
          </w:p>
        </w:tc>
        <w:tc>
          <w:tcPr>
            <w:tcW w:w="3600" w:type="dxa"/>
            <w:shd w:val="clear" w:color="auto" w:fill="1A538E"/>
          </w:tcPr>
          <w:p w14:paraId="00100310" w14:textId="00100311">
            <w:pPr>
              <w:jc w:val="center"/>
            </w:pPr>
            <w:r>
              <w:rPr>
                <w:b/>
                <w:color w:val="FFFFFF"/>
                <w:sz w:val="20"/>
              </w:rPr>
              <w:t>Period</w:t>
            </w:r>
          </w:p>
        </w:tc>
        <w:tc>
          <w:tcPr>
            <w:tcW w:w="3600" w:type="dxa"/>
            <w:shd w:val="clear" w:color="auto" w:fill="1A538E"/>
          </w:tcPr>
          <w:p w14:paraId="00100312" w14:textId="00100313">
            <w:pPr>
              <w:jc w:val="center"/>
            </w:pPr>
            <w:r>
              <w:rPr>
                <w:b/>
                <w:color w:val="FFFFFF"/>
                <w:sz w:val="20"/>
              </w:rPr>
              <w:t>Days</w:t>
            </w:r>
          </w:p>
        </w:tc>
      </w:tr>
      <w:tr>
        <w:tc>
          <w:tcPr>
            <w:tcW w:w="2160" w:type="dxa"/>
            <w:shd w:val="clear" w:color="auto" w:fill="F0F4FA"/>
          </w:tcPr>
          <w:p w14:paraId="00100314" w14:textId="00100315">
            <w:pPr>
              <w:jc w:val="center"/>
            </w:pPr>
            <w:r>
              <w:rPr>
                <w:sz w:val="20"/>
              </w:rPr>
              <w:t>Training set</w:t>
            </w:r>
          </w:p>
        </w:tc>
        <w:tc>
          <w:tcPr>
            <w:tcW w:w="3600" w:type="dxa"/>
            <w:shd w:val="clear" w:color="auto" w:fill="F0F4FA"/>
          </w:tcPr>
          <w:p w14:paraId="00100316" w14:textId="00100317">
            <w:pPr>
              <w:jc w:val="center"/>
            </w:pPr>
            <w:r>
              <w:rPr>
                <w:sz w:val="20"/>
              </w:rPr>
              <w:t>2013-01-06 → 2024-07-01</w:t>
            </w:r>
          </w:p>
        </w:tc>
        <w:tc>
          <w:tcPr>
            <w:tcW w:w="3600" w:type="dxa"/>
            <w:shd w:val="clear" w:color="auto" w:fill="F0F4FA"/>
          </w:tcPr>
          <w:p w14:paraId="00100318" w14:textId="00100319">
            <w:pPr>
              <w:jc w:val="center"/>
            </w:pPr>
            <w:r>
              <w:rPr>
                <w:sz w:val="20"/>
              </w:rPr>
              <w:t>~4,195 days (≈11.5 years)</w:t>
            </w:r>
          </w:p>
        </w:tc>
      </w:tr>
      <w:tr>
        <w:tc>
          <w:tcPr>
            <w:tcW w:w="2160" w:type="dxa"/>
            <w:shd w:val="clear" w:color="auto" w:fill="FFFFFF"/>
          </w:tcPr>
          <w:p w14:paraId="0010031A" w14:textId="0010031B">
            <w:pPr>
              <w:jc w:val="center"/>
            </w:pPr>
            <w:r>
              <w:rPr>
                <w:sz w:val="20"/>
              </w:rPr>
              <w:t>Test set</w:t>
            </w:r>
          </w:p>
        </w:tc>
        <w:tc>
          <w:tcPr>
            <w:tcW w:w="3600" w:type="dxa"/>
            <w:shd w:val="clear" w:color="auto" w:fill="FFFFFF"/>
          </w:tcPr>
          <w:p w14:paraId="0010031C" w14:textId="0010031D">
            <w:pPr>
              <w:jc w:val="center"/>
            </w:pPr>
            <w:r>
              <w:rPr>
                <w:sz w:val="20"/>
              </w:rPr>
              <w:t>2024-07-02 → 2024-09-29</w:t>
            </w:r>
          </w:p>
        </w:tc>
        <w:tc>
          <w:tcPr>
            <w:tcW w:w="3600" w:type="dxa"/>
            <w:shd w:val="clear" w:color="auto" w:fill="FFFFFF"/>
          </w:tcPr>
          <w:p w14:paraId="0010031E" w14:textId="0010031F">
            <w:pPr>
              <w:jc w:val="center"/>
            </w:pPr>
            <w:r>
              <w:rPr>
                <w:sz w:val="20"/>
              </w:rPr>
              <w:t>90 days  (held-out)</w:t>
            </w:r>
          </w:p>
        </w:tc>
      </w:tr>
      <w:tr>
        <w:tc>
          <w:tcPr>
            <w:tcW w:w="2160" w:type="dxa"/>
            <w:shd w:val="clear" w:color="auto" w:fill="F0F4FA"/>
          </w:tcPr>
          <w:p w14:paraId="00100320" w14:textId="00100321">
            <w:pPr>
              <w:jc w:val="center"/>
            </w:pPr>
            <w:r>
              <w:rPr>
                <w:sz w:val="20"/>
              </w:rPr>
              <w:t>Forecast</w:t>
            </w:r>
          </w:p>
        </w:tc>
        <w:tc>
          <w:tcPr>
            <w:tcW w:w="3600" w:type="dxa"/>
            <w:shd w:val="clear" w:color="auto" w:fill="F0F4FA"/>
          </w:tcPr>
          <w:p w14:paraId="00100322" w14:textId="00100323">
            <w:pPr>
              <w:jc w:val="center"/>
            </w:pPr>
            <w:r>
              <w:rPr>
                <w:sz w:val="20"/>
              </w:rPr>
              <w:t>2024-09-30 → 2024-10-29</w:t>
            </w:r>
          </w:p>
        </w:tc>
        <w:tc>
          <w:tcPr>
            <w:tcW w:w="3600" w:type="dxa"/>
            <w:shd w:val="clear" w:color="auto" w:fill="F0F4FA"/>
          </w:tcPr>
          <w:p w14:paraId="00100324" w14:textId="00100325">
            <w:pPr>
              <w:jc w:val="center"/>
            </w:pPr>
            <w:r>
              <w:rPr>
                <w:sz w:val="20"/>
              </w:rPr>
              <w:t>30 days  (future)</w:t>
            </w:r>
          </w:p>
        </w:tc>
      </w:tr>
    </w:tbl>
    <w:p w14:paraId="00100326" w14:textId="00100327">
      <w:pPr>
        <w:spacing w:after="120"/>
      </w:pPr>
    </w:p>
    <w:p w14:paraId="00100328" w14:textId="00100329">
      <w:pPr>
        <w:spacing w:before="80" w:after="80"/>
        <w:pBdr>
          <w:bottom w:val="single" w:color="CCCCCC" w:sz="4" w:space="1"/>
        </w:pBdr>
      </w:pPr>
    </w:p>
    <w:p w14:paraId="0010032A" w14:textId="0010032B">
      <w:pPr>
        <w:pStyle w:val="Heading1"/>
      </w:pPr>
      <w:r>
        <w:rPr>
          <w:b/>
          <w:color w:val="1A538E"/>
          <w:sz w:val="28"/>
        </w:rPr>
        <w:t>12. Forecast Validation Metrics</w:t>
      </w:r>
    </w:p>
    <w:p w14:paraId="0010032C" w14:textId="0010032D">
      <w:pPr>
        <w:spacing w:before="0" w:after="80"/>
      </w:pPr>
      <w:r>
        <w:rPr>
          <w:b w:val="0"/>
          <w:sz w:val="22"/>
        </w:rPr>
        <w:t>The model was validated against the held-out 90-day test set (2024-07-02 to 2024-09-29). Three standard forecast accuracy metrics were computed:</w:t>
      </w:r>
    </w:p>
    <w:tbl>
      <w:tblPr>
        <w:tblStyle w:val="TableGrid"/>
        <w:tblW w:w="0" w:type="auto"/>
        <w:jc w:val="center"/>
        <w:tblLook w:val="04A0" w:firstRow="1" w:lastRow="0" w:firstColumn="1" w:lastColumn="0" w:noHBand="0" w:noVBand="1"/>
      </w:tblPr>
      <w:tblGrid>
        <w:gridCol w:w="4703"/>
        <w:gridCol w:w="4703"/>
      </w:tblGrid>
      <w:tr>
        <w:tc>
          <w:tcPr>
            <w:tcW w:w="4320" w:type="dxa"/>
            <w:shd w:val="clear" w:color="auto" w:fill="EBF3FB"/>
          </w:tcPr>
          <w:p w14:paraId="0010032E" w14:textId="0010032F">
            <w:r>
              <w:rPr>
                <w:b/>
                <w:sz w:val="21"/>
              </w:rPr>
              <w:t>MAE  (Mean Absolute Error)</w:t>
            </w:r>
          </w:p>
        </w:tc>
        <w:tc>
          <w:tcPr>
            <w:tcW w:w="4320" w:type="dxa"/>
            <w:shd w:val="clear" w:color="auto" w:fill="EBF3FB"/>
          </w:tcPr>
          <w:p w14:paraId="00100330" w14:textId="00100331">
            <w:pPr>
              <w:jc w:val="center"/>
            </w:pPr>
            <w:r>
              <w:rPr>
                <w:sz w:val="21"/>
              </w:rPr>
              <w:t>183.01 MU</w:t>
            </w:r>
          </w:p>
        </w:tc>
      </w:tr>
      <w:tr>
        <w:tc>
          <w:tcPr>
            <w:tcW w:w="4320" w:type="dxa"/>
            <w:shd w:val="clear" w:color="auto" w:fill="FFFFFF"/>
          </w:tcPr>
          <w:p w14:paraId="00100332" w14:textId="00100333">
            <w:r>
              <w:rPr>
                <w:b/>
                <w:sz w:val="21"/>
              </w:rPr>
              <w:t>RMSE  (Root Mean Square Error)</w:t>
            </w:r>
          </w:p>
        </w:tc>
        <w:tc>
          <w:tcPr>
            <w:tcW w:w="4320" w:type="dxa"/>
            <w:shd w:val="clear" w:color="auto" w:fill="FFFFFF"/>
          </w:tcPr>
          <w:p w14:paraId="00100334" w14:textId="00100335">
            <w:pPr>
              <w:jc w:val="center"/>
            </w:pPr>
            <w:r>
              <w:rPr>
                <w:sz w:val="21"/>
              </w:rPr>
              <w:t>219.93 MU</w:t>
            </w:r>
          </w:p>
        </w:tc>
      </w:tr>
      <w:tr>
        <w:tc>
          <w:tcPr>
            <w:tcW w:w="4320" w:type="dxa"/>
            <w:shd w:val="clear" w:color="auto" w:fill="EBF3FB"/>
          </w:tcPr>
          <w:p w14:paraId="00100336" w14:textId="00100337">
            <w:r>
              <w:rPr>
                <w:b/>
                <w:sz w:val="21"/>
              </w:rPr>
              <w:t>MAPE  (Mean Absolute Percentage Error)</w:t>
            </w:r>
          </w:p>
        </w:tc>
        <w:tc>
          <w:tcPr>
            <w:tcW w:w="4320" w:type="dxa"/>
            <w:shd w:val="clear" w:color="auto" w:fill="EBF3FB"/>
          </w:tcPr>
          <w:p w14:paraId="00100338" w14:textId="00100339">
            <w:pPr>
              <w:jc w:val="center"/>
            </w:pPr>
            <w:r>
              <w:rPr>
                <w:sz w:val="21"/>
              </w:rPr>
              <w:t>3.84%</w:t>
            </w:r>
          </w:p>
        </w:tc>
      </w:tr>
      <w:tr>
        <w:tc>
          <w:tcPr>
            <w:tcW w:w="4320" w:type="dxa"/>
            <w:shd w:val="clear" w:color="auto" w:fill="FFFFFF"/>
          </w:tcPr>
          <w:p w14:paraId="0010033A" w14:textId="0010033B">
            <w:r>
              <w:rPr>
                <w:b/>
                <w:sz w:val="21"/>
              </w:rPr>
              <w:t>Test Period</w:t>
            </w:r>
          </w:p>
        </w:tc>
        <w:tc>
          <w:tcPr>
            <w:tcW w:w="4320" w:type="dxa"/>
            <w:shd w:val="clear" w:color="auto" w:fill="FFFFFF"/>
          </w:tcPr>
          <w:p w14:paraId="0010033C" w14:textId="0010033D">
            <w:pPr>
              <w:jc w:val="center"/>
            </w:pPr>
            <w:r>
              <w:rPr>
                <w:sz w:val="21"/>
              </w:rPr>
              <w:t>90 days  (2024-07-02 → 2024-09-29)</w:t>
            </w:r>
          </w:p>
        </w:tc>
      </w:tr>
    </w:tbl>
    <w:p w14:paraId="0010033E" w14:textId="0010033F">
      <w:pPr>
        <w:spacing w:after="120"/>
      </w:pPr>
    </w:p>
    <w:p w14:paraId="00100340" w14:textId="00100341">
      <w:pPr>
        <w:spacing w:before="0" w:after="80"/>
      </w:pPr>
      <w:r>
        <w:rPr>
          <w:b w:val="0"/>
          <w:sz w:val="21"/>
        </w:rPr>
        <w:t>Interpretation: On the held-out test set, the model's daily forecast deviates from actual consumption by an average of 183.01 MU (MAE). The RMSE of 219.93 MU (≈20% above MAE) indicates that large errors are not disproportionately frequent. The MAPE of 3.84% means the model's daily prediction is, on average, within 3.84% of the actual value on the holdout period.</w:t>
      </w:r>
    </w:p>
    <w:p w14:paraId="00100342" w14:textId="00100343">
      <w:pPr>
        <w:spacing w:before="80" w:after="80"/>
        <w:pBdr>
          <w:bottom w:val="single" w:color="CCCCCC" w:sz="4" w:space="1"/>
        </w:pBdr>
      </w:pPr>
    </w:p>
    <w:p w14:paraId="00100344" w14:textId="00100345">
      <w:pPr>
        <w:pStyle w:val="Heading1"/>
      </w:pPr>
      <w:r>
        <w:rPr>
          <w:b/>
          <w:color w:val="1A538E"/>
          <w:sz w:val="28"/>
        </w:rPr>
        <w:t>13. Forecast Output</w:t>
      </w:r>
    </w:p>
    <w:p w14:paraId="00100346" w14:textId="00100347">
      <w:pPr>
        <w:spacing w:before="0" w:after="80"/>
      </w:pPr>
      <w:r>
        <w:rPr>
          <w:b w:val="0"/>
          <w:sz w:val="22"/>
        </w:rPr>
        <w:t>After validation, the model was re-trained on the full dataset (2013-01-06 to 2024-09-29) and used to generate a 30-day forward forecast via forecast_total_consumption(cleaned_df, forecast_days=30).</w:t>
      </w:r>
    </w:p>
    <w:tbl>
      <w:tblPr>
        <w:tblStyle w:val="TableGrid"/>
        <w:tblW w:w="0" w:type="auto"/>
        <w:jc w:val="center"/>
        <w:tblLook w:val="04A0" w:firstRow="1" w:lastRow="0" w:firstColumn="1" w:lastColumn="0" w:noHBand="0" w:noVBand="1"/>
      </w:tblPr>
      <w:tblGrid>
        <w:gridCol w:w="4703"/>
        <w:gridCol w:w="4703"/>
      </w:tblGrid>
      <w:tr>
        <w:tc>
          <w:tcPr>
            <w:tcW w:w="4320" w:type="dxa"/>
            <w:shd w:val="clear" w:color="auto" w:fill="EBF3FB"/>
          </w:tcPr>
          <w:p w14:paraId="00100348" w14:textId="00100349">
            <w:r>
              <w:rPr>
                <w:b/>
                <w:sz w:val="21"/>
              </w:rPr>
              <w:t>Forecast Function</w:t>
            </w:r>
          </w:p>
        </w:tc>
        <w:tc>
          <w:tcPr>
            <w:tcW w:w="4320" w:type="dxa"/>
            <w:shd w:val="clear" w:color="auto" w:fill="EBF3FB"/>
          </w:tcPr>
          <w:p w14:paraId="0010034A" w14:textId="0010034B">
            <w:pPr>
              <w:jc w:val="center"/>
            </w:pPr>
            <w:r>
              <w:rPr>
                <w:sz w:val="21"/>
              </w:rPr>
              <w:t>forecast_total_consumption(cleaned_df, forecast_days=30)</w:t>
            </w:r>
          </w:p>
        </w:tc>
      </w:tr>
      <w:tr>
        <w:tc>
          <w:tcPr>
            <w:tcW w:w="4320" w:type="dxa"/>
            <w:shd w:val="clear" w:color="auto" w:fill="FFFFFF"/>
          </w:tcPr>
          <w:p w14:paraId="0010034C" w14:textId="0010034D">
            <w:r>
              <w:rPr>
                <w:b/>
                <w:sz w:val="21"/>
              </w:rPr>
              <w:t>Forecast Period</w:t>
            </w:r>
          </w:p>
        </w:tc>
        <w:tc>
          <w:tcPr>
            <w:tcW w:w="4320" w:type="dxa"/>
            <w:shd w:val="clear" w:color="auto" w:fill="FFFFFF"/>
          </w:tcPr>
          <w:p w14:paraId="0010034E" w14:textId="0010034F">
            <w:pPr>
              <w:jc w:val="center"/>
            </w:pPr>
            <w:r>
              <w:rPr>
                <w:sz w:val="21"/>
              </w:rPr>
              <w:t>2024-09-30 to 2024-10-29  (30 days)</w:t>
            </w:r>
          </w:p>
        </w:tc>
      </w:tr>
      <w:tr>
        <w:tc>
          <w:tcPr>
            <w:tcW w:w="4320" w:type="dxa"/>
            <w:shd w:val="clear" w:color="auto" w:fill="EBF3FB"/>
          </w:tcPr>
          <w:p w14:paraId="00100350" w14:textId="00100351">
            <w:r>
              <w:rPr>
                <w:b/>
                <w:sz w:val="21"/>
              </w:rPr>
              <w:t>Uncertainty Band</w:t>
            </w:r>
          </w:p>
        </w:tc>
        <w:tc>
          <w:tcPr>
            <w:tcW w:w="4320" w:type="dxa"/>
            <w:shd w:val="clear" w:color="auto" w:fill="EBF3FB"/>
          </w:tcPr>
          <w:p w14:paraId="00100352" w14:textId="00100353">
            <w:pPr>
              <w:jc w:val="center"/>
            </w:pPr>
            <w:r>
              <w:rPr>
                <w:sz w:val="21"/>
              </w:rPr>
              <w:t>±1 RMSE (±219.93 MU) shown around forecast line</w:t>
            </w:r>
          </w:p>
        </w:tc>
      </w:tr>
    </w:tbl>
    <w:p w14:paraId="00100354" w14:textId="00100355">
      <w:pPr>
        <w:spacing w:after="120"/>
      </w:pPr>
    </w:p>
    <w:p w14:paraId="00100356" w14:textId="00100357">
      <w:pPr>
        <w:spacing w:before="120" w:after="40"/>
        <w:jc w:val="center"/>
      </w:pPr>
      <w:r>
        <w:drawing>
          <wp:inline xmlns:a="http://schemas.openxmlformats.org/drawingml/2006/main" xmlns:pic="http://schemas.openxmlformats.org/drawingml/2006/picture">
            <wp:extent cx="5669280" cy="2473868"/>
            <wp:docPr id="9" name="Picture 9"/>
            <wp:cNvGraphicFramePr>
              <a:graphicFrameLocks noChangeAspect="1"/>
            </wp:cNvGraphicFramePr>
            <a:graphic>
              <a:graphicData uri="http://schemas.openxmlformats.org/drawingml/2006/picture">
                <pic:pic>
                  <pic:nvPicPr>
                    <pic:cNvPr id="0" name="fig6_forecast.png"/>
                    <pic:cNvPicPr/>
                  </pic:nvPicPr>
                  <pic:blipFill>
                    <a:blip r:embed="rId17"/>
                    <a:stretch>
                      <a:fillRect/>
                    </a:stretch>
                  </pic:blipFill>
                  <pic:spPr>
                    <a:xfrm>
                      <a:off x="0" y="0"/>
                      <a:ext cx="5669280" cy="2473868"/>
                    </a:xfrm>
                    <a:prstGeom prst="rect"/>
                  </pic:spPr>
                </pic:pic>
              </a:graphicData>
            </a:graphic>
          </wp:inline>
        </w:drawing>
      </w:r>
    </w:p>
    <w:p w14:paraId="00100358" w14:textId="00100359">
      <w:pPr>
        <w:spacing w:after="200"/>
        <w:jc w:val="center"/>
      </w:pPr>
      <w:r>
        <w:rPr>
          <w:i/>
          <w:color w:val="555555"/>
          <w:sz w:val="19"/>
        </w:rPr>
        <w:t>Figure 9 — Holt-Winters Forecast: Historical (blue), Test Actual (grey), Test Predicted (orange dashed), 30-day Forecast (red dotted) with ±1 RMSE band. MAE 183.01 MU  |  RMSE 219.93 MU  |  MAPE 3.84%.</w:t>
      </w:r>
    </w:p>
    <w:p w14:paraId="0010035A" w14:textId="0010035B">
      <w:pPr>
        <w:spacing w:before="80" w:after="80"/>
        <w:pBdr>
          <w:bottom w:val="single" w:color="CCCCCC" w:sz="4" w:space="1"/>
        </w:pBdr>
      </w:pPr>
    </w:p>
    <w:p w14:paraId="0010035C" w14:textId="0010035D">
      <w:pPr>
        <w:pStyle w:val="Heading1"/>
      </w:pPr>
      <w:r>
        <w:rPr>
          <w:b/>
          <w:color w:val="1A538E"/>
          <w:sz w:val="28"/>
        </w:rPr>
        <w:t>14. Interactive Dashboard</w:t>
      </w:r>
    </w:p>
    <w:p w14:paraId="0010035E" w14:textId="0010049D">
      <w:pPr>
        <w:spacing w:before="0" w:after="80"/>
      </w:pPr>
      <w:r>
        <w:rPr>
          <w:b w:val="0"/>
          <w:sz w:val="22"/>
        </w:rPr>
        <w:t xml:space="preserve">The Streamlit dashboard (launched via: streamlit run Magham_kalyani_India_Electricity_Analysis.py) is the primary end-user interface. It is structured into six sections accessible via sidebar radio navigation:</w:t>
      </w:r>
    </w:p>
    <w:p w14:paraId="00100360" w14:textId="00100361">
      <w:pPr>
        <w:spacing w:after="100"/>
      </w:pPr>
      <w:r>
        <w:rPr>
          <w:b/>
          <w:sz w:val="22"/>
        </w:rPr>
        <w:t xml:space="preserve">A. Overview — </w:t>
      </w:r>
      <w:r>
        <w:rPr>
          <w:sz w:val="21"/>
        </w:rPr>
        <w:t>Four KPI metric cards (Total Consumption, Avg Daily, Peak Day, Lowest Day). National time-series chart with two independent date_input filters (trend_start_date, trend_end_date). Monthly seasonality bar chart. Yearly consumption bar chart with partial-year markers.</w:t>
      </w:r>
    </w:p>
    <w:p w14:paraId="00100362" w14:textId="00100363">
      <w:pPr>
        <w:spacing w:after="100"/>
      </w:pPr>
      <w:r>
        <w:rPr>
          <w:b/>
          <w:sz w:val="22"/>
        </w:rPr>
        <w:t xml:space="preserve">B. State Analysis — </w:t>
      </w:r>
      <w:r>
        <w:rPr>
          <w:sz w:val="21"/>
        </w:rPr>
        <w:t>Sidebar dropdown to select any of the 34 entities. Displays entity KPI cards and a top-N ranked bar chart. Entity yearly trend line chart. Entity monthly seasonality bar chart.</w:t>
      </w:r>
    </w:p>
    <w:p w14:paraId="00100364" w14:textId="00100365">
      <w:pPr>
        <w:spacing w:after="100"/>
      </w:pPr>
      <w:r>
        <w:rPr>
          <w:b/>
          <w:sz w:val="22"/>
        </w:rPr>
        <w:t xml:space="preserve">C. Anomaly Detection (National) — </w:t>
      </w:r>
      <w:r>
        <w:rPr>
          <w:sz w:val="21"/>
        </w:rPr>
        <w:t>Full-width time-series chart with 37 anomalous days highlighted as red scatter markers. Summary metrics panel. Expandable data table of all anomalous dates and values.</w:t>
      </w:r>
    </w:p>
    <w:p w14:paraId="00100366" w14:textId="00100367">
      <w:pPr>
        <w:spacing w:after="100"/>
      </w:pPr>
      <w:r>
        <w:rPr>
          <w:b/>
          <w:sz w:val="22"/>
        </w:rPr>
        <w:t xml:space="preserve">D. Anomaly Detection (Entity) — </w:t>
      </w:r>
      <w:r>
        <w:rPr>
          <w:sz w:val="21"/>
        </w:rPr>
        <w:t>Entity-specific IQR anomaly detection using detect_single_entity_anomalies(). Displays entity-specific fences, anomaly count, and anomaly chart.</w:t>
      </w:r>
    </w:p>
    <w:p w14:paraId="00100368" w14:textId="00100369">
      <w:pPr>
        <w:spacing w:after="100"/>
      </w:pPr>
      <w:r>
        <w:rPr>
          <w:b/>
          <w:sz w:val="22"/>
        </w:rPr>
        <w:t xml:space="preserve">E. Forecasting — </w:t>
      </w:r>
      <w:r>
        <w:rPr>
          <w:sz w:val="21"/>
        </w:rPr>
        <w:t>Cached forecast_total_consumption() with 30-day forward projection. MAE/RMSE/MAPE metric cards. Full forecast chart with ±RMSE uncertainty band. Expandable table of forecast dates and values.</w:t>
      </w:r>
    </w:p>
    <w:p w14:paraId="0010036A" w14:textId="0010036B">
      <w:pPr>
        <w:spacing w:after="100"/>
      </w:pPr>
      <w:r>
        <w:rPr>
          <w:b/>
          <w:sz w:val="22"/>
        </w:rPr>
        <w:t xml:space="preserve">F. Data Quality Report — </w:t>
      </w:r>
      <w:r>
        <w:rPr>
          <w:sz w:val="21"/>
        </w:rPr>
        <w:t>Auto-generated report: rows, columns, date range, missing values per column, duplicate count, and a summary of all cleaning steps applied. Provides full data provenance transparency.</w:t>
      </w:r>
    </w:p>
    <w:p w14:paraId="0010036C" w14:textId="0010049E">
      <w:pPr>
        <w:spacing w:before="0" w:after="80"/>
      </w:pPr>
      <w:r>
        <w:rPr>
          <w:b w:val="0"/>
          <w:color w:val="646464"/>
          <w:sz w:val="20"/>
        </w:rPr>
        <w:t xml:space="preserve">Dashboard Note: No static screenshot is available in this environment. The dashboard is launched with: streamlit run Magham_kalyani_India_Electricity_Analysis.py  and opens at http://localhost:8501. All six sections above correspond directly to the sidebar navigation labels.</w:t>
      </w:r>
    </w:p>
    <w:p w14:paraId="0010036E" w14:textId="0010036F">
      <w:pPr>
        <w:spacing w:before="80" w:after="80"/>
        <w:pBdr>
          <w:bottom w:val="single" w:color="CCCCCC" w:sz="4" w:space="1"/>
        </w:pBdr>
      </w:pPr>
    </w:p>
    <w:p w14:paraId="00100370" w14:textId="00100371">
      <w:pPr>
        <w:pStyle w:val="Heading1"/>
      </w:pPr>
      <w:r>
        <w:rPr>
          <w:b/>
          <w:color w:val="1A538E"/>
          <w:sz w:val="28"/>
        </w:rPr>
        <w:t>15. Dashboard Design Approach</w:t>
      </w:r>
    </w:p>
    <w:p w14:paraId="00100372" w14:textId="0010049F">
      <w:pPr>
        <w:pStyle w:val="ListBullet"/>
        <w:spacing w:after="100"/>
      </w:pPr>
      <w:r>
        <w:rPr>
          <w:b/>
          <w:sz w:val="21"/>
        </w:rPr>
        <w:t xml:space="preserve">Single-file architecture — </w:t>
      </w:r>
      <w:r>
        <w:rPr>
          <w:sz w:val="21"/>
        </w:rPr>
        <w:t xml:space="preserve">All 1,500+ lines reside in Magham_kalyani_India_Electricity_Analysis.py. Streamlit entry point (main()) is called via if __name__ == '__main__'. No additional module dependencies beyond the five listed packages.</w:t>
      </w:r>
    </w:p>
    <w:p w14:paraId="00100374" w14:textId="00100375">
      <w:pPr>
        <w:pStyle w:val="ListBullet"/>
        <w:spacing w:after="100"/>
      </w:pPr>
      <w:r>
        <w:rPr>
          <w:b/>
          <w:sz w:val="21"/>
        </w:rPr>
        <w:t xml:space="preserve">Caching — </w:t>
      </w:r>
      <w:r>
        <w:rPr>
          <w:sz w:val="21"/>
        </w:rPr>
        <w:t>load_data() and clean_data() are decorated with @st.cache_data. The forecasting function is also cached as it trains a Holt-Winters model on 3,707 rows — without caching this would cause a ~10s delay per interaction.</w:t>
      </w:r>
    </w:p>
    <w:p w14:paraId="00100376" w14:textId="00100377">
      <w:pPr>
        <w:pStyle w:val="ListBullet"/>
        <w:spacing w:after="100"/>
      </w:pPr>
      <w:r>
        <w:rPr>
          <w:b/>
          <w:sz w:val="21"/>
        </w:rPr>
        <w:t xml:space="preserve">Session state for date filters — </w:t>
      </w:r>
      <w:r>
        <w:rPr>
          <w:sz w:val="21"/>
        </w:rPr>
        <w:t>Both trend_start_date and trend_end_date are initialised once into st.session_state at startup (not on every re-run), preventing the date pickers from resetting when the user interacts with other widgets.</w:t>
      </w:r>
    </w:p>
    <w:p w14:paraId="00100378" w14:textId="00100379">
      <w:pPr>
        <w:pStyle w:val="ListBullet"/>
        <w:spacing w:after="100"/>
      </w:pPr>
      <w:r>
        <w:rPr>
          <w:b/>
          <w:sz w:val="21"/>
        </w:rPr>
        <w:t xml:space="preserve">Plotly for all charts — </w:t>
      </w:r>
      <w:r>
        <w:rPr>
          <w:sz w:val="21"/>
        </w:rPr>
        <w:t>All visualisations use Plotly Express or Plotly Graph Objects rendered via st.plotly_chart(fig, use_container_width=True). This gives interactive zoom, pan, hover tooltips, and chart PNG export without extra libraries.</w:t>
      </w:r>
    </w:p>
    <w:p w14:paraId="0010037A" w14:textId="0010037B">
      <w:pPr>
        <w:pStyle w:val="ListBullet"/>
        <w:spacing w:after="100"/>
      </w:pPr>
      <w:r>
        <w:rPr>
          <w:b/>
          <w:sz w:val="21"/>
        </w:rPr>
        <w:t xml:space="preserve">Wide layout — </w:t>
      </w:r>
      <w:r>
        <w:rPr>
          <w:sz w:val="21"/>
        </w:rPr>
        <w:t>st.set_page_config(layout='wide') is called at the start of main() to maximise chart width.</w:t>
      </w:r>
    </w:p>
    <w:p w14:paraId="0010037C" w14:textId="0010037D">
      <w:pPr>
        <w:spacing w:before="80" w:after="80"/>
        <w:pBdr>
          <w:bottom w:val="single" w:color="CCCCCC" w:sz="4" w:space="1"/>
        </w:pBdr>
      </w:pPr>
    </w:p>
    <w:p w14:paraId="0010037E" w14:textId="0010037F">
      <w:pPr>
        <w:pStyle w:val="Heading1"/>
      </w:pPr>
      <w:r>
        <w:rPr>
          <w:b/>
          <w:color w:val="1A538E"/>
          <w:sz w:val="28"/>
        </w:rPr>
        <w:t>16. Key Insights</w:t>
      </w:r>
    </w:p>
    <w:p w14:paraId="00100380" w14:textId="00100381">
      <w:pPr>
        <w:spacing w:after="100"/>
      </w:pPr>
      <w:r>
        <w:rPr>
          <w:b/>
          <w:sz w:val="22"/>
        </w:rPr>
        <w:t xml:space="preserve">1. Sustained multi-year demand growth.  </w:t>
      </w:r>
      <w:r>
        <w:rPr>
          <w:sz w:val="21"/>
        </w:rPr>
        <w:t>Yearly totals for complete calendar years show consistent increases across the dataset period, consistent with India's industrial expansion and population growth. Partial years (2013*, 2023*, 2024*) are not directly comparable.</w:t>
      </w:r>
    </w:p>
    <w:p w14:paraId="00100382" w14:textId="00100383">
      <w:pPr>
        <w:spacing w:after="100"/>
      </w:pPr>
      <w:r>
        <w:rPr>
          <w:b/>
          <w:sz w:val="22"/>
        </w:rPr>
        <w:t xml:space="preserve">2. Strong, recurring seasonal pattern.  </w:t>
      </w:r>
      <w:r>
        <w:rPr>
          <w:sz w:val="21"/>
        </w:rPr>
        <w:t>Monthly analysis reveals higher consumption in the May–August window and in November–January. This pattern is consistent across years and is the primary driver of the Holt-Winters seasonal component.</w:t>
      </w:r>
    </w:p>
    <w:p w14:paraId="00100384" w14:textId="00100385">
      <w:pPr>
        <w:spacing w:after="100"/>
      </w:pPr>
      <w:r>
        <w:rPr>
          <w:b/>
          <w:sz w:val="22"/>
        </w:rPr>
        <w:t xml:space="preserve">3. All anomalies are positive spikes — none negative.  </w:t>
      </w:r>
      <w:r>
        <w:rPr>
          <w:sz w:val="21"/>
        </w:rPr>
        <w:t>All 37 anomalous days exceed the upper IQR fence (5,064.08 MU). No day falls below the lower fence (1,926.27 MU). This is observable from the data; the root cause is not established within this dataset.</w:t>
      </w:r>
    </w:p>
    <w:p w14:paraId="00100386" w14:textId="00100387">
      <w:pPr>
        <w:spacing w:after="100"/>
      </w:pPr>
      <w:r>
        <w:rPr>
          <w:b/>
          <w:sz w:val="22"/>
        </w:rPr>
        <w:t xml:space="preserve">4. Maharashtra is the dominant consuming entity.  </w:t>
      </w:r>
      <w:r>
        <w:rPr>
          <w:sz w:val="21"/>
        </w:rPr>
        <w:t>It ranks first by total consumption across all years, with values roughly 1.5–2× that of the second-ranked entity (UP). This reflects its large industrial and urban footprint.</w:t>
      </w:r>
    </w:p>
    <w:p w14:paraId="00100388" w14:textId="00100389">
      <w:pPr>
        <w:spacing w:after="100"/>
      </w:pPr>
      <w:r>
        <w:rPr>
          <w:b/>
          <w:sz w:val="22"/>
        </w:rPr>
        <w:t xml:space="preserve">5. Holt-Winters achieves a MAPE of 3.84% on the holdout.  </w:t>
      </w:r>
      <w:r>
        <w:rPr>
          <w:sz w:val="21"/>
        </w:rPr>
        <w:t>This means the model's daily forecast was, on average, within 3.84% of actual values over the 90-day test period. RMSE (219.93 MU) being ~20% above MAE (183.01 MU) indicates no extreme individual errors on the test set.</w:t>
      </w:r>
    </w:p>
    <w:p w14:paraId="0010038A" w14:textId="0010038B">
      <w:pPr>
        <w:spacing w:after="100"/>
      </w:pPr>
      <w:r>
        <w:rPr>
          <w:b/>
          <w:sz w:val="22"/>
        </w:rPr>
        <w:t xml:space="preserve">6. Data quality is uneven across entities.  </w:t>
      </w:r>
      <w:r>
        <w:rPr>
          <w:sz w:val="21"/>
        </w:rPr>
        <w:t>Six entities have notable missing values (Pondy 56.1%, Tripura 47.0%). Trends and rankings for these entities should be interpreted cautiously — the missing data is preserved as NaN, not filled.</w:t>
      </w:r>
    </w:p>
    <w:p w14:paraId="0010038C" w14:textId="0010038D">
      <w:pPr>
        <w:spacing w:after="100"/>
      </w:pPr>
      <w:r>
        <w:rPr>
          <w:b/>
          <w:sz w:val="22"/>
        </w:rPr>
        <w:t xml:space="preserve">7. 2020 shows the largest single-year decline.  </w:t>
      </w:r>
      <w:r>
        <w:rPr>
          <w:sz w:val="21"/>
        </w:rPr>
        <w:t>YoY growth of −16.73% in 2020 stands out in the dataset. 2021 shows a corresponding recovery (+23.10%). Causal attribution is not established from consumption data alone.</w:t>
      </w:r>
    </w:p>
    <w:p w14:paraId="0010038E" w14:textId="0010038F">
      <w:pPr>
        <w:spacing w:before="80" w:after="80"/>
        <w:pBdr>
          <w:bottom w:val="single" w:color="CCCCCC" w:sz="4" w:space="1"/>
        </w:pBdr>
      </w:pPr>
    </w:p>
    <w:p w14:paraId="00100390" w14:textId="00100391">
      <w:pPr>
        <w:pStyle w:val="Heading1"/>
      </w:pPr>
      <w:r>
        <w:rPr>
          <w:b/>
          <w:color w:val="1A538E"/>
          <w:sz w:val="28"/>
        </w:rPr>
        <w:t>17. Limitations</w:t>
      </w:r>
    </w:p>
    <w:p w14:paraId="00100392" w14:textId="00100393">
      <w:pPr>
        <w:pStyle w:val="ListBullet"/>
        <w:spacing w:after="60"/>
      </w:pPr>
      <w:r>
        <w:rPr>
          <w:sz w:val="22"/>
        </w:rPr>
        <w:t>Irregular time series — 578 calendar dates are absent. Holt-Winters assumes evenly spaced observations; missing dates are handled by linear interpolation before fitting, which may smooth out rapid short-term changes.</w:t>
      </w:r>
    </w:p>
    <w:p w14:paraId="00100394" w14:textId="00100395">
      <w:pPr>
        <w:pStyle w:val="ListBullet"/>
        <w:spacing w:after="60"/>
      </w:pPr>
      <w:r>
        <w:rPr>
          <w:sz w:val="22"/>
        </w:rPr>
        <w:t>Entity-level forecasting not implemented — only national Total Consumption is forecast. State-level forecasting would require separate handling of each entity's missing values and potentially different seasonal profiles.</w:t>
      </w:r>
    </w:p>
    <w:p w14:paraId="00100396" w14:textId="00100397">
      <w:pPr>
        <w:pStyle w:val="ListBullet"/>
        <w:spacing w:after="60"/>
      </w:pPr>
      <w:r>
        <w:rPr>
          <w:sz w:val="22"/>
        </w:rPr>
        <w:t>No external regressors — the model uses only historical consumption values. Weather, GDP, policy changes, and public holidays are known drivers of electricity demand but are not incorporated.</w:t>
      </w:r>
    </w:p>
    <w:p w14:paraId="00100398" w14:textId="00100399">
      <w:pPr>
        <w:pStyle w:val="ListBullet"/>
        <w:spacing w:after="60"/>
      </w:pPr>
      <w:r>
        <w:rPr>
          <w:sz w:val="22"/>
        </w:rPr>
        <w:t>IQR anomaly detection is global and univariate — it does not account for seasonal norms. A day above 5,064 MU in summer may be less unusual than the same value in winter. A seasonally-adjusted method (e.g. STL residuals) would be more precise.</w:t>
      </w:r>
    </w:p>
    <w:p w14:paraId="0010039A" w14:textId="0010039B">
      <w:pPr>
        <w:pStyle w:val="ListBullet"/>
        <w:spacing w:after="60"/>
      </w:pPr>
      <w:r>
        <w:rPr>
          <w:sz w:val="22"/>
        </w:rPr>
        <w:t>No forecast confidence intervals — the dashboard shows point forecasts with a ±1 RMSE uncertainty band as a visual indicator only, not a statistically derived prediction interval.</w:t>
      </w:r>
    </w:p>
    <w:p w14:paraId="0010039C" w14:textId="0010039D">
      <w:pPr>
        <w:pStyle w:val="ListBullet"/>
        <w:spacing w:after="60"/>
      </w:pPr>
      <w:r>
        <w:rPr>
          <w:sz w:val="22"/>
        </w:rPr>
        <w:t>No geographic map visualisation — state-level comparisons are shown as bar charts rather than a choropleth map.</w:t>
      </w:r>
    </w:p>
    <w:p w14:paraId="0010039E" w14:textId="0010039F">
      <w:pPr>
        <w:spacing w:before="80" w:after="80"/>
        <w:pBdr>
          <w:bottom w:val="single" w:color="CCCCCC" w:sz="4" w:space="1"/>
        </w:pBdr>
      </w:pPr>
    </w:p>
    <w:p w14:paraId="001003A0" w14:textId="001003A1">
      <w:pPr>
        <w:pStyle w:val="Heading1"/>
      </w:pPr>
      <w:r>
        <w:rPr>
          <w:b/>
          <w:color w:val="1A538E"/>
          <w:sz w:val="28"/>
        </w:rPr>
        <w:t>18. Future Improvements</w:t>
      </w:r>
    </w:p>
    <w:p w14:paraId="001003A2" w14:textId="001003A3">
      <w:pPr>
        <w:pStyle w:val="ListBullet"/>
        <w:spacing w:after="60"/>
      </w:pPr>
      <w:r>
        <w:rPr>
          <w:sz w:val="22"/>
        </w:rPr>
        <w:t>State-level forecasting — Extend the Holt-Winters pipeline to generate individual 30-day forecasts for each of the 34 geographic entities, with missing-value interpolation applied before model fitting.</w:t>
      </w:r>
    </w:p>
    <w:p w14:paraId="001003A4" w14:textId="001003A5">
      <w:pPr>
        <w:pStyle w:val="ListBullet"/>
        <w:spacing w:after="60"/>
      </w:pPr>
      <w:r>
        <w:rPr>
          <w:sz w:val="22"/>
        </w:rPr>
        <w:t>Advanced forecasting models — Compare Holt-Winters against SARIMA, Prophet (Meta), and LSTM on the same 90-day holdout split using identical MAE/RMSE/MAPE metrics.</w:t>
      </w:r>
    </w:p>
    <w:p w14:paraId="001003A6" w14:textId="001003A7">
      <w:pPr>
        <w:pStyle w:val="ListBullet"/>
        <w:spacing w:after="60"/>
      </w:pPr>
      <w:r>
        <w:rPr>
          <w:sz w:val="22"/>
        </w:rPr>
        <w:t>Forecast confidence intervals — Add statistically derived 80% and 95% prediction interval bands using Holt-Winters simulation output from statsmodels.</w:t>
      </w:r>
    </w:p>
    <w:p w14:paraId="001003A8" w14:textId="001003A9">
      <w:pPr>
        <w:pStyle w:val="ListBullet"/>
        <w:spacing w:after="60"/>
      </w:pPr>
      <w:r>
        <w:rPr>
          <w:sz w:val="22"/>
        </w:rPr>
        <w:t>Seasonally-adjusted anomaly detection — Replace global IQR with STL decomposition residuals (statsmodels.tsa.seasonal.STL) for within-season sensitivity.</w:t>
      </w:r>
    </w:p>
    <w:p w14:paraId="001003AA" w14:textId="001003AB">
      <w:pPr>
        <w:pStyle w:val="ListBullet"/>
        <w:spacing w:after="60"/>
      </w:pPr>
      <w:r>
        <w:rPr>
          <w:sz w:val="22"/>
        </w:rPr>
        <w:t>Choropleth map — Add an India state GeoJSON choropleth (Plotly choropleth_mapbox) to visualise entity-level consumption geographically.</w:t>
      </w:r>
    </w:p>
    <w:p w14:paraId="001003AC" w14:textId="001003AD">
      <w:pPr>
        <w:pStyle w:val="ListBullet"/>
        <w:spacing w:after="60"/>
      </w:pPr>
      <w:r>
        <w:rPr>
          <w:sz w:val="22"/>
        </w:rPr>
        <w:t>Live data integration — Replace the static CSV with a live POSOCO or National Power Portal API feed to keep the dashboard current beyond September 2024.</w:t>
      </w:r>
    </w:p>
    <w:p w14:paraId="001003AE" w14:textId="001003AF">
      <w:pPr>
        <w:pStyle w:val="ListBullet"/>
        <w:spacing w:after="60"/>
      </w:pPr>
      <w:r>
        <w:rPr>
          <w:sz w:val="22"/>
        </w:rPr>
        <w:t>Year-on-year growth rate analysis — Compute and visualise per-entity YoY growth rates to identify fast-growing states relative to their own baselines.</w:t>
      </w:r>
    </w:p>
    <w:p w14:paraId="001003B0" w14:textId="001003B1">
      <w:pPr>
        <w:spacing w:before="80" w:after="80"/>
        <w:pBdr>
          <w:bottom w:val="single" w:color="CCCCCC" w:sz="4" w:space="1"/>
        </w:pBdr>
      </w:pPr>
    </w:p>
    <w:p w14:paraId="001003B2" w14:textId="001003B3">
      <w:pPr>
        <w:pStyle w:val="Heading1"/>
      </w:pPr>
      <w:r>
        <w:rPr>
          <w:b/>
          <w:color w:val="1A538E"/>
          <w:sz w:val="28"/>
        </w:rPr>
        <w:t>19. Project Structure</w:t>
      </w:r>
    </w:p>
    <w:p w14:paraId="001003B4" w14:textId="001003B5">
      <w:pPr>
        <w:spacing w:before="0" w:after="80"/>
      </w:pPr>
      <w:r>
        <w:rPr>
          <w:b/>
          <w:sz w:val="22"/>
        </w:rPr>
        <w:t>Single-file architecture — all code in one Python file. No submodules or helper scripts.</w:t>
      </w:r>
    </w:p>
    <w:tbl>
      <w:tblPr>
        <w:tblStyle w:val="TableGrid"/>
        <w:tblW w:w="0" w:type="auto"/>
        <w:jc w:val="center"/>
        <w:tblLook w:val="04A0" w:firstRow="1" w:lastRow="0" w:firstColumn="1" w:lastColumn="0" w:noHBand="0" w:noVBand="1"/>
      </w:tblPr>
      <w:tblGrid>
        <w:gridCol w:w="4703"/>
        <w:gridCol w:w="4703"/>
      </w:tblGrid>
      <w:tr>
        <w:tc>
          <w:tcPr>
            <w:tcW w:w="4032" w:type="dxa"/>
            <w:shd w:val="clear" w:color="auto" w:fill="1A538E"/>
          </w:tcPr>
          <w:p w14:paraId="001003B6" w14:textId="001003B7">
            <w:pPr>
              <w:jc w:val="center"/>
            </w:pPr>
            <w:r>
              <w:rPr>
                <w:b/>
                <w:color w:val="FFFFFF"/>
                <w:sz w:val="20"/>
              </w:rPr>
              <w:t>File</w:t>
            </w:r>
          </w:p>
        </w:tc>
        <w:tc>
          <w:tcPr>
            <w:tcW w:w="5760" w:type="dxa"/>
            <w:shd w:val="clear" w:color="auto" w:fill="1A538E"/>
          </w:tcPr>
          <w:p w14:paraId="001003B8" w14:textId="001003B9">
            <w:pPr>
              <w:jc w:val="center"/>
            </w:pPr>
            <w:r>
              <w:rPr>
                <w:b/>
                <w:color w:val="FFFFFF"/>
                <w:sz w:val="20"/>
              </w:rPr>
              <w:t>Description</w:t>
            </w:r>
          </w:p>
        </w:tc>
      </w:tr>
      <w:tr>
        <w:tc>
          <w:tcPr>
            <w:tcW w:w="4032" w:type="dxa"/>
            <w:shd w:val="clear" w:color="auto" w:fill="F0F4FA"/>
          </w:tcPr>
          <w:p w14:paraId="001003BA" w14:textId="001004A0">
            <w:pPr>
              <w:jc w:val="center"/>
            </w:pPr>
            <w:r>
              <w:rPr>
                <w:sz w:val="20"/>
              </w:rPr>
              <w:t xml:space="preserve">Magham_kalyani_India_Electricity_Analysis.py</w:t>
            </w:r>
          </w:p>
        </w:tc>
        <w:tc>
          <w:tcPr>
            <w:tcW w:w="5760" w:type="dxa"/>
            <w:shd w:val="clear" w:color="auto" w:fill="F0F4FA"/>
          </w:tcPr>
          <w:p w14:paraId="001003BC" w14:textId="001003BD">
            <w:pPr>
              <w:jc w:val="center"/>
            </w:pPr>
            <w:r>
              <w:rPr>
                <w:sz w:val="20"/>
              </w:rPr>
              <w:t>All project code (~1,500 lines): loading, cleaning, reshaping, analysis, anomaly, forecasting, charts, dashboard.</w:t>
            </w:r>
          </w:p>
        </w:tc>
      </w:tr>
      <w:tr>
        <w:tc>
          <w:tcPr>
            <w:tcW w:w="4032" w:type="dxa"/>
            <w:shd w:val="clear" w:color="auto" w:fill="FFFFFF"/>
          </w:tcPr>
          <w:p w14:paraId="001003BE" w14:textId="001003BF">
            <w:pPr>
              <w:jc w:val="center"/>
            </w:pPr>
            <w:r>
              <w:rPr>
                <w:sz w:val="20"/>
              </w:rPr>
              <w:t>Indias_Electricity_Consumption_Dataset.csv</w:t>
            </w:r>
          </w:p>
        </w:tc>
        <w:tc>
          <w:tcPr>
            <w:tcW w:w="5760" w:type="dxa"/>
            <w:shd w:val="clear" w:color="auto" w:fill="FFFFFF"/>
          </w:tcPr>
          <w:p w14:paraId="001003C0" w14:textId="001003C1">
            <w:pPr>
              <w:jc w:val="center"/>
            </w:pPr>
            <w:r>
              <w:rPr>
                <w:sz w:val="20"/>
              </w:rPr>
              <w:t>Raw dataset from Kaggle (3,707 rows × 39 cols). Not modified by any project code.</w:t>
            </w:r>
          </w:p>
        </w:tc>
      </w:tr>
      <w:tr>
        <w:tc>
          <w:tcPr>
            <w:tcW w:w="4032" w:type="dxa"/>
            <w:shd w:val="clear" w:color="auto" w:fill="F0F4FA"/>
          </w:tcPr>
          <w:p w14:paraId="001003C2" w14:textId="001003C3">
            <w:pPr>
              <w:jc w:val="center"/>
            </w:pPr>
            <w:r>
              <w:rPr>
                <w:sz w:val="20"/>
              </w:rPr>
              <w:t>requirements.txt</w:t>
            </w:r>
          </w:p>
        </w:tc>
        <w:tc>
          <w:tcPr>
            <w:tcW w:w="5760" w:type="dxa"/>
            <w:shd w:val="clear" w:color="auto" w:fill="F0F4FA"/>
          </w:tcPr>
          <w:p w14:paraId="001003C4" w14:textId="001003C5">
            <w:pPr>
              <w:jc w:val="center"/>
            </w:pPr>
            <w:r>
              <w:rPr>
                <w:sz w:val="20"/>
              </w:rPr>
              <w:t>5 package dependencies: pandas, numpy, plotly, streamlit, statsmodels.</w:t>
            </w:r>
          </w:p>
        </w:tc>
      </w:tr>
      <w:tr>
        <w:tc>
          <w:tcPr>
            <w:tcW w:w="4032" w:type="dxa"/>
            <w:shd w:val="clear" w:color="auto" w:fill="FFFFFF"/>
          </w:tcPr>
          <w:p w14:paraId="001003C6" w14:textId="001003C7">
            <w:pPr>
              <w:jc w:val="center"/>
            </w:pPr>
            <w:r>
              <w:rPr>
                <w:sz w:val="20"/>
              </w:rPr>
              <w:t>README.md</w:t>
            </w:r>
          </w:p>
        </w:tc>
        <w:tc>
          <w:tcPr>
            <w:tcW w:w="5760" w:type="dxa"/>
            <w:shd w:val="clear" w:color="auto" w:fill="FFFFFF"/>
          </w:tcPr>
          <w:p w14:paraId="001003C8" w14:textId="001003C9">
            <w:pPr>
              <w:jc w:val="center"/>
            </w:pPr>
            <w:r>
              <w:rPr>
                <w:sz w:val="20"/>
              </w:rPr>
              <w:t>Full project documentation: setup, usage, overview, attribution.</w:t>
            </w:r>
          </w:p>
        </w:tc>
      </w:tr>
      <w:tr>
        <w:tc>
          <w:tcPr>
            <w:tcW w:w="4032" w:type="dxa"/>
            <w:shd w:val="clear" w:color="auto" w:fill="F0F4FA"/>
          </w:tcPr>
          <w:p w14:paraId="001003CA" w14:textId="001004A3">
            <w:pPr>
              <w:jc w:val="center"/>
            </w:pPr>
            <w:r>
              <w:rPr>
                <w:sz w:val="20"/>
              </w:rPr>
              <w:t xml:space="preserve">Magham_kalyani_ProjectReport.docx</w:t>
            </w:r>
          </w:p>
        </w:tc>
        <w:tc>
          <w:tcPr>
            <w:tcW w:w="5760" w:type="dxa"/>
            <w:shd w:val="clear" w:color="auto" w:fill="F0F4FA"/>
          </w:tcPr>
          <w:p w14:paraId="001003CC" w14:textId="001003CD">
            <w:pPr>
              <w:jc w:val="center"/>
            </w:pPr>
            <w:r>
              <w:rPr>
                <w:sz w:val="20"/>
              </w:rPr>
              <w:t>This project report.</w:t>
            </w:r>
          </w:p>
        </w:tc>
      </w:tr>
    </w:tbl>
    <w:p w14:paraId="001003CE" w14:textId="001003CF">
      <w:pPr>
        <w:spacing w:after="120"/>
      </w:pPr>
    </w:p>
    <w:p w14:paraId="001003D0" w14:textId="001004A1">
      <w:pPr>
        <w:spacing w:before="0" w:after="80"/>
      </w:pPr>
      <w:r>
        <w:rPr>
          <w:b/>
          <w:sz w:val="21"/>
        </w:rPr>
        <w:t xml:space="preserve">Key functions in Magham_kalyani_India_Electricity_Analysis.py (in order):</w:t>
      </w:r>
    </w:p>
    <w:tbl>
      <w:tblPr>
        <w:tblStyle w:val="TableGrid"/>
        <w:tblW w:w="0" w:type="auto"/>
        <w:jc w:val="center"/>
        <w:tblLook w:val="04A0" w:firstRow="1" w:lastRow="0" w:firstColumn="1" w:lastColumn="0" w:noHBand="0" w:noVBand="1"/>
      </w:tblPr>
      <w:tblGrid>
        <w:gridCol w:w="4703"/>
        <w:gridCol w:w="4703"/>
      </w:tblGrid>
      <w:tr>
        <w:tc>
          <w:tcPr>
            <w:tcW w:w="4032" w:type="dxa"/>
            <w:shd w:val="clear" w:color="auto" w:fill="1A538E"/>
          </w:tcPr>
          <w:p w14:paraId="001003D2" w14:textId="001003D3">
            <w:pPr>
              <w:jc w:val="center"/>
            </w:pPr>
            <w:r>
              <w:rPr>
                <w:b/>
                <w:color w:val="FFFFFF"/>
                <w:sz w:val="20"/>
              </w:rPr>
              <w:t>Function</w:t>
            </w:r>
          </w:p>
        </w:tc>
        <w:tc>
          <w:tcPr>
            <w:tcW w:w="5760" w:type="dxa"/>
            <w:shd w:val="clear" w:color="auto" w:fill="1A538E"/>
          </w:tcPr>
          <w:p w14:paraId="001003D4" w14:textId="001003D5">
            <w:pPr>
              <w:jc w:val="center"/>
            </w:pPr>
            <w:r>
              <w:rPr>
                <w:b/>
                <w:color w:val="FFFFFF"/>
                <w:sz w:val="20"/>
              </w:rPr>
              <w:t>Purpose</w:t>
            </w:r>
          </w:p>
        </w:tc>
      </w:tr>
      <w:tr>
        <w:tc>
          <w:tcPr>
            <w:tcW w:w="4032" w:type="dxa"/>
            <w:shd w:val="clear" w:color="auto" w:fill="F0F4FA"/>
          </w:tcPr>
          <w:p w14:paraId="001003D6" w14:textId="001003D7">
            <w:pPr>
              <w:jc w:val="center"/>
            </w:pPr>
            <w:r>
              <w:rPr>
                <w:sz w:val="20"/>
              </w:rPr>
              <w:t>load_data()</w:t>
            </w:r>
          </w:p>
        </w:tc>
        <w:tc>
          <w:tcPr>
            <w:tcW w:w="5760" w:type="dxa"/>
            <w:shd w:val="clear" w:color="auto" w:fill="F0F4FA"/>
          </w:tcPr>
          <w:p w14:paraId="001003D8" w14:textId="001003D9">
            <w:pPr>
              <w:jc w:val="center"/>
            </w:pPr>
            <w:r>
              <w:rPr>
                <w:sz w:val="20"/>
              </w:rPr>
              <w:t>Load raw CSV</w:t>
            </w:r>
          </w:p>
        </w:tc>
      </w:tr>
      <w:tr>
        <w:tc>
          <w:tcPr>
            <w:tcW w:w="4032" w:type="dxa"/>
            <w:shd w:val="clear" w:color="auto" w:fill="FFFFFF"/>
          </w:tcPr>
          <w:p w14:paraId="001003DA" w14:textId="001003DB">
            <w:pPr>
              <w:jc w:val="center"/>
            </w:pPr>
            <w:r>
              <w:rPr>
                <w:sz w:val="20"/>
              </w:rPr>
              <w:t>clean_data()</w:t>
            </w:r>
          </w:p>
        </w:tc>
        <w:tc>
          <w:tcPr>
            <w:tcW w:w="5760" w:type="dxa"/>
            <w:shd w:val="clear" w:color="auto" w:fill="FFFFFF"/>
          </w:tcPr>
          <w:p w14:paraId="001003DC" w14:textId="001003DD">
            <w:pPr>
              <w:jc w:val="center"/>
            </w:pPr>
            <w:r>
              <w:rPr>
                <w:sz w:val="20"/>
              </w:rPr>
              <w:t>Full cleaning pipeline (8 steps)</w:t>
            </w:r>
          </w:p>
        </w:tc>
      </w:tr>
      <w:tr>
        <w:tc>
          <w:tcPr>
            <w:tcW w:w="4032" w:type="dxa"/>
            <w:shd w:val="clear" w:color="auto" w:fill="F0F4FA"/>
          </w:tcPr>
          <w:p w14:paraId="001003DE" w14:textId="001003DF">
            <w:pPr>
              <w:jc w:val="center"/>
            </w:pPr>
            <w:r>
              <w:rPr>
                <w:sz w:val="20"/>
              </w:rPr>
              <w:t>reshape_for_state_analysis()</w:t>
            </w:r>
          </w:p>
        </w:tc>
        <w:tc>
          <w:tcPr>
            <w:tcW w:w="5760" w:type="dxa"/>
            <w:shd w:val="clear" w:color="auto" w:fill="F0F4FA"/>
          </w:tcPr>
          <w:p w14:paraId="001003E0" w14:textId="001003E1">
            <w:pPr>
              <w:jc w:val="center"/>
            </w:pPr>
            <w:r>
              <w:rPr>
                <w:sz w:val="20"/>
              </w:rPr>
              <w:t>Wide → long format melt</w:t>
            </w:r>
          </w:p>
        </w:tc>
      </w:tr>
      <w:tr>
        <w:tc>
          <w:tcPr>
            <w:tcW w:w="4032" w:type="dxa"/>
            <w:shd w:val="clear" w:color="auto" w:fill="FFFFFF"/>
          </w:tcPr>
          <w:p w14:paraId="001003E2" w14:textId="001003E3">
            <w:pPr>
              <w:jc w:val="center"/>
            </w:pPr>
            <w:r>
              <w:rPr>
                <w:sz w:val="20"/>
              </w:rPr>
              <w:t>calculate_kpis()</w:t>
            </w:r>
          </w:p>
        </w:tc>
        <w:tc>
          <w:tcPr>
            <w:tcW w:w="5760" w:type="dxa"/>
            <w:shd w:val="clear" w:color="auto" w:fill="FFFFFF"/>
          </w:tcPr>
          <w:p w14:paraId="001003E4" w14:textId="001003E5">
            <w:pPr>
              <w:jc w:val="center"/>
            </w:pPr>
            <w:r>
              <w:rPr>
                <w:sz w:val="20"/>
              </w:rPr>
              <w:t>National KPIs</w:t>
            </w:r>
          </w:p>
        </w:tc>
      </w:tr>
      <w:tr>
        <w:tc>
          <w:tcPr>
            <w:tcW w:w="4032" w:type="dxa"/>
            <w:shd w:val="clear" w:color="auto" w:fill="F0F4FA"/>
          </w:tcPr>
          <w:p w14:paraId="001003E6" w14:textId="001003E7">
            <w:pPr>
              <w:jc w:val="center"/>
            </w:pPr>
            <w:r>
              <w:rPr>
                <w:sz w:val="20"/>
              </w:rPr>
              <w:t>calculate_yearly_consumption()</w:t>
            </w:r>
          </w:p>
        </w:tc>
        <w:tc>
          <w:tcPr>
            <w:tcW w:w="5760" w:type="dxa"/>
            <w:shd w:val="clear" w:color="auto" w:fill="F0F4FA"/>
          </w:tcPr>
          <w:p w14:paraId="001003E8" w14:textId="001003E9">
            <w:pPr>
              <w:jc w:val="center"/>
            </w:pPr>
            <w:r>
              <w:rPr>
                <w:sz w:val="20"/>
              </w:rPr>
              <w:t>Yearly totals</w:t>
            </w:r>
          </w:p>
        </w:tc>
      </w:tr>
      <w:tr>
        <w:tc>
          <w:tcPr>
            <w:tcW w:w="4032" w:type="dxa"/>
            <w:shd w:val="clear" w:color="auto" w:fill="FFFFFF"/>
          </w:tcPr>
          <w:p w14:paraId="001003EA" w14:textId="001003EB">
            <w:pPr>
              <w:jc w:val="center"/>
            </w:pPr>
            <w:r>
              <w:rPr>
                <w:sz w:val="20"/>
              </w:rPr>
              <w:t>calculate_yearly_growth()</w:t>
            </w:r>
          </w:p>
        </w:tc>
        <w:tc>
          <w:tcPr>
            <w:tcW w:w="5760" w:type="dxa"/>
            <w:shd w:val="clear" w:color="auto" w:fill="FFFFFF"/>
          </w:tcPr>
          <w:p w14:paraId="001003EC" w14:textId="001003ED">
            <w:pPr>
              <w:jc w:val="center"/>
            </w:pPr>
            <w:r>
              <w:rPr>
                <w:sz w:val="20"/>
              </w:rPr>
              <w:t>YoY growth rates</w:t>
            </w:r>
          </w:p>
        </w:tc>
      </w:tr>
      <w:tr>
        <w:tc>
          <w:tcPr>
            <w:tcW w:w="4032" w:type="dxa"/>
            <w:shd w:val="clear" w:color="auto" w:fill="F0F4FA"/>
          </w:tcPr>
          <w:p w14:paraId="001003EE" w14:textId="001003EF">
            <w:pPr>
              <w:jc w:val="center"/>
            </w:pPr>
            <w:r>
              <w:rPr>
                <w:sz w:val="20"/>
              </w:rPr>
              <w:t>calculate_monthly_consumption()</w:t>
            </w:r>
          </w:p>
        </w:tc>
        <w:tc>
          <w:tcPr>
            <w:tcW w:w="5760" w:type="dxa"/>
            <w:shd w:val="clear" w:color="auto" w:fill="F0F4FA"/>
          </w:tcPr>
          <w:p w14:paraId="001003F0" w14:textId="001003F1">
            <w:pPr>
              <w:jc w:val="center"/>
            </w:pPr>
            <w:r>
              <w:rPr>
                <w:sz w:val="20"/>
              </w:rPr>
              <w:t>Monthly totals</w:t>
            </w:r>
          </w:p>
        </w:tc>
      </w:tr>
      <w:tr>
        <w:tc>
          <w:tcPr>
            <w:tcW w:w="4032" w:type="dxa"/>
            <w:shd w:val="clear" w:color="auto" w:fill="FFFFFF"/>
          </w:tcPr>
          <w:p w14:paraId="001003F2" w14:textId="001003F3">
            <w:pPr>
              <w:jc w:val="center"/>
            </w:pPr>
            <w:r>
              <w:rPr>
                <w:sz w:val="20"/>
              </w:rPr>
              <w:t>calculate_state_consumption()</w:t>
            </w:r>
          </w:p>
        </w:tc>
        <w:tc>
          <w:tcPr>
            <w:tcW w:w="5760" w:type="dxa"/>
            <w:shd w:val="clear" w:color="auto" w:fill="FFFFFF"/>
          </w:tcPr>
          <w:p w14:paraId="001003F4" w14:textId="001003F5">
            <w:pPr>
              <w:jc w:val="center"/>
            </w:pPr>
            <w:r>
              <w:rPr>
                <w:sz w:val="20"/>
              </w:rPr>
              <w:t>State totals</w:t>
            </w:r>
          </w:p>
        </w:tc>
      </w:tr>
      <w:tr>
        <w:tc>
          <w:tcPr>
            <w:tcW w:w="4032" w:type="dxa"/>
            <w:shd w:val="clear" w:color="auto" w:fill="F0F4FA"/>
          </w:tcPr>
          <w:p w14:paraId="001003F6" w14:textId="001003F7">
            <w:pPr>
              <w:jc w:val="center"/>
            </w:pPr>
            <w:r>
              <w:rPr>
                <w:sz w:val="20"/>
              </w:rPr>
              <w:t>calculate_state_statistics()</w:t>
            </w:r>
          </w:p>
        </w:tc>
        <w:tc>
          <w:tcPr>
            <w:tcW w:w="5760" w:type="dxa"/>
            <w:shd w:val="clear" w:color="auto" w:fill="F0F4FA"/>
          </w:tcPr>
          <w:p w14:paraId="001003F8" w14:textId="001003F9">
            <w:pPr>
              <w:jc w:val="center"/>
            </w:pPr>
            <w:r>
              <w:rPr>
                <w:sz w:val="20"/>
              </w:rPr>
              <w:t>Per-state descriptive stats</w:t>
            </w:r>
          </w:p>
        </w:tc>
      </w:tr>
      <w:tr>
        <w:tc>
          <w:tcPr>
            <w:tcW w:w="4032" w:type="dxa"/>
            <w:shd w:val="clear" w:color="auto" w:fill="FFFFFF"/>
          </w:tcPr>
          <w:p w14:paraId="001003FA" w14:textId="001003FB">
            <w:pPr>
              <w:jc w:val="center"/>
            </w:pPr>
            <w:r>
              <w:rPr>
                <w:sz w:val="20"/>
              </w:rPr>
              <w:t>calculate_data_quality_summary()</w:t>
            </w:r>
          </w:p>
        </w:tc>
        <w:tc>
          <w:tcPr>
            <w:tcW w:w="5760" w:type="dxa"/>
            <w:shd w:val="clear" w:color="auto" w:fill="FFFFFF"/>
          </w:tcPr>
          <w:p w14:paraId="001003FC" w14:textId="001003FD">
            <w:pPr>
              <w:jc w:val="center"/>
            </w:pPr>
            <w:r>
              <w:rPr>
                <w:sz w:val="20"/>
              </w:rPr>
              <w:t>DQ metrics</w:t>
            </w:r>
          </w:p>
        </w:tc>
      </w:tr>
      <w:tr>
        <w:tc>
          <w:tcPr>
            <w:tcW w:w="4032" w:type="dxa"/>
            <w:shd w:val="clear" w:color="auto" w:fill="F0F4FA"/>
          </w:tcPr>
          <w:p w14:paraId="001003FE" w14:textId="001003FF">
            <w:pPr>
              <w:jc w:val="center"/>
            </w:pPr>
            <w:r>
              <w:rPr>
                <w:sz w:val="20"/>
              </w:rPr>
              <w:t>calculate_state_kpis()</w:t>
            </w:r>
          </w:p>
        </w:tc>
        <w:tc>
          <w:tcPr>
            <w:tcW w:w="5760" w:type="dxa"/>
            <w:shd w:val="clear" w:color="auto" w:fill="F0F4FA"/>
          </w:tcPr>
          <w:p w14:paraId="00100400" w14:textId="00100401">
            <w:pPr>
              <w:jc w:val="center"/>
            </w:pPr>
            <w:r>
              <w:rPr>
                <w:sz w:val="20"/>
              </w:rPr>
              <w:t>Per-entity KPI table</w:t>
            </w:r>
          </w:p>
        </w:tc>
      </w:tr>
      <w:tr>
        <w:tc>
          <w:tcPr>
            <w:tcW w:w="4032" w:type="dxa"/>
            <w:shd w:val="clear" w:color="auto" w:fill="FFFFFF"/>
          </w:tcPr>
          <w:p w14:paraId="00100402" w14:textId="00100403">
            <w:pPr>
              <w:jc w:val="center"/>
            </w:pPr>
            <w:r>
              <w:rPr>
                <w:sz w:val="20"/>
              </w:rPr>
              <w:t>calculate_top_entities()</w:t>
            </w:r>
          </w:p>
        </w:tc>
        <w:tc>
          <w:tcPr>
            <w:tcW w:w="5760" w:type="dxa"/>
            <w:shd w:val="clear" w:color="auto" w:fill="FFFFFF"/>
          </w:tcPr>
          <w:p w14:paraId="00100404" w14:textId="00100405">
            <w:pPr>
              <w:jc w:val="center"/>
            </w:pPr>
            <w:r>
              <w:rPr>
                <w:sz w:val="20"/>
              </w:rPr>
              <w:t>Top-N entities ranking</w:t>
            </w:r>
          </w:p>
        </w:tc>
      </w:tr>
      <w:tr>
        <w:tc>
          <w:tcPr>
            <w:tcW w:w="4032" w:type="dxa"/>
            <w:shd w:val="clear" w:color="auto" w:fill="F0F4FA"/>
          </w:tcPr>
          <w:p w14:paraId="00100406" w14:textId="00100407">
            <w:pPr>
              <w:jc w:val="center"/>
            </w:pPr>
            <w:r>
              <w:rPr>
                <w:sz w:val="20"/>
              </w:rPr>
              <w:t>calculate_entity_yearly_trend()</w:t>
            </w:r>
          </w:p>
        </w:tc>
        <w:tc>
          <w:tcPr>
            <w:tcW w:w="5760" w:type="dxa"/>
            <w:shd w:val="clear" w:color="auto" w:fill="F0F4FA"/>
          </w:tcPr>
          <w:p w14:paraId="00100408" w14:textId="00100409">
            <w:pPr>
              <w:jc w:val="center"/>
            </w:pPr>
            <w:r>
              <w:rPr>
                <w:sz w:val="20"/>
              </w:rPr>
              <w:t>Entity yearly trend</w:t>
            </w:r>
          </w:p>
        </w:tc>
      </w:tr>
      <w:tr>
        <w:tc>
          <w:tcPr>
            <w:tcW w:w="4032" w:type="dxa"/>
            <w:shd w:val="clear" w:color="auto" w:fill="FFFFFF"/>
          </w:tcPr>
          <w:p w14:paraId="0010040A" w14:textId="0010040B">
            <w:pPr>
              <w:jc w:val="center"/>
            </w:pPr>
            <w:r>
              <w:rPr>
                <w:sz w:val="20"/>
              </w:rPr>
              <w:t>calculate_entity_monthly_trend()</w:t>
            </w:r>
          </w:p>
        </w:tc>
        <w:tc>
          <w:tcPr>
            <w:tcW w:w="5760" w:type="dxa"/>
            <w:shd w:val="clear" w:color="auto" w:fill="FFFFFF"/>
          </w:tcPr>
          <w:p w14:paraId="0010040C" w14:textId="0010040D">
            <w:pPr>
              <w:jc w:val="center"/>
            </w:pPr>
            <w:r>
              <w:rPr>
                <w:sz w:val="20"/>
              </w:rPr>
              <w:t>Entity monthly trend</w:t>
            </w:r>
          </w:p>
        </w:tc>
      </w:tr>
      <w:tr>
        <w:tc>
          <w:tcPr>
            <w:tcW w:w="4032" w:type="dxa"/>
            <w:shd w:val="clear" w:color="auto" w:fill="F0F4FA"/>
          </w:tcPr>
          <w:p w14:paraId="0010040E" w14:textId="0010040F">
            <w:pPr>
              <w:jc w:val="center"/>
            </w:pPr>
            <w:r>
              <w:rPr>
                <w:sz w:val="20"/>
              </w:rPr>
              <w:t>detect_daily_anomalies()</w:t>
            </w:r>
          </w:p>
        </w:tc>
        <w:tc>
          <w:tcPr>
            <w:tcW w:w="5760" w:type="dxa"/>
            <w:shd w:val="clear" w:color="auto" w:fill="F0F4FA"/>
          </w:tcPr>
          <w:p w14:paraId="00100410" w14:textId="00100411">
            <w:pPr>
              <w:jc w:val="center"/>
            </w:pPr>
            <w:r>
              <w:rPr>
                <w:sz w:val="20"/>
              </w:rPr>
              <w:t>National IQR anomaly detection</w:t>
            </w:r>
          </w:p>
        </w:tc>
      </w:tr>
      <w:tr>
        <w:tc>
          <w:tcPr>
            <w:tcW w:w="4032" w:type="dxa"/>
            <w:shd w:val="clear" w:color="auto" w:fill="FFFFFF"/>
          </w:tcPr>
          <w:p w14:paraId="00100412" w14:textId="00100413">
            <w:pPr>
              <w:jc w:val="center"/>
            </w:pPr>
            <w:r>
              <w:rPr>
                <w:sz w:val="20"/>
              </w:rPr>
              <w:t>get_anomaly_summary()</w:t>
            </w:r>
          </w:p>
        </w:tc>
        <w:tc>
          <w:tcPr>
            <w:tcW w:w="5760" w:type="dxa"/>
            <w:shd w:val="clear" w:color="auto" w:fill="FFFFFF"/>
          </w:tcPr>
          <w:p w14:paraId="00100414" w14:textId="00100415">
            <w:pPr>
              <w:jc w:val="center"/>
            </w:pPr>
            <w:r>
              <w:rPr>
                <w:sz w:val="20"/>
              </w:rPr>
              <w:t>Anomaly summary stats</w:t>
            </w:r>
          </w:p>
        </w:tc>
      </w:tr>
      <w:tr>
        <w:tc>
          <w:tcPr>
            <w:tcW w:w="4032" w:type="dxa"/>
            <w:shd w:val="clear" w:color="auto" w:fill="F0F4FA"/>
          </w:tcPr>
          <w:p w14:paraId="00100416" w14:textId="00100417">
            <w:pPr>
              <w:jc w:val="center"/>
            </w:pPr>
            <w:r>
              <w:rPr>
                <w:sz w:val="20"/>
              </w:rPr>
              <w:t>detect_entity_anomalies()</w:t>
            </w:r>
          </w:p>
        </w:tc>
        <w:tc>
          <w:tcPr>
            <w:tcW w:w="5760" w:type="dxa"/>
            <w:shd w:val="clear" w:color="auto" w:fill="F0F4FA"/>
          </w:tcPr>
          <w:p w14:paraId="00100418" w14:textId="00100419">
            <w:pPr>
              <w:jc w:val="center"/>
            </w:pPr>
            <w:r>
              <w:rPr>
                <w:sz w:val="20"/>
              </w:rPr>
              <w:t>All-entity IQR detection</w:t>
            </w:r>
          </w:p>
        </w:tc>
      </w:tr>
      <w:tr>
        <w:tc>
          <w:tcPr>
            <w:tcW w:w="4032" w:type="dxa"/>
            <w:shd w:val="clear" w:color="auto" w:fill="FFFFFF"/>
          </w:tcPr>
          <w:p w14:paraId="0010041A" w14:textId="0010041B">
            <w:pPr>
              <w:jc w:val="center"/>
            </w:pPr>
            <w:r>
              <w:rPr>
                <w:sz w:val="20"/>
              </w:rPr>
              <w:t>detect_single_entity_anomalies()</w:t>
            </w:r>
          </w:p>
        </w:tc>
        <w:tc>
          <w:tcPr>
            <w:tcW w:w="5760" w:type="dxa"/>
            <w:shd w:val="clear" w:color="auto" w:fill="FFFFFF"/>
          </w:tcPr>
          <w:p w14:paraId="0010041C" w14:textId="0010041D">
            <w:pPr>
              <w:jc w:val="center"/>
            </w:pPr>
            <w:r>
              <w:rPr>
                <w:sz w:val="20"/>
              </w:rPr>
              <w:t>Single-entity IQR detection</w:t>
            </w:r>
          </w:p>
        </w:tc>
      </w:tr>
      <w:tr>
        <w:tc>
          <w:tcPr>
            <w:tcW w:w="4032" w:type="dxa"/>
            <w:shd w:val="clear" w:color="auto" w:fill="F0F4FA"/>
          </w:tcPr>
          <w:p w14:paraId="0010041E" w14:textId="0010041F">
            <w:pPr>
              <w:jc w:val="center"/>
            </w:pPr>
            <w:r>
              <w:rPr>
                <w:sz w:val="20"/>
              </w:rPr>
              <w:t>forecast_total_consumption()</w:t>
            </w:r>
          </w:p>
        </w:tc>
        <w:tc>
          <w:tcPr>
            <w:tcW w:w="5760" w:type="dxa"/>
            <w:shd w:val="clear" w:color="auto" w:fill="F0F4FA"/>
          </w:tcPr>
          <w:p w14:paraId="00100420" w14:textId="00100421">
            <w:pPr>
              <w:jc w:val="center"/>
            </w:pPr>
            <w:r>
              <w:rPr>
                <w:sz w:val="20"/>
              </w:rPr>
              <w:t>Holt-Winters forecast</w:t>
            </w:r>
          </w:p>
        </w:tc>
      </w:tr>
      <w:tr>
        <w:tc>
          <w:tcPr>
            <w:tcW w:w="4032" w:type="dxa"/>
            <w:shd w:val="clear" w:color="auto" w:fill="FFFFFF"/>
          </w:tcPr>
          <w:p w14:paraId="00100422" w14:textId="00100423">
            <w:pPr>
              <w:jc w:val="center"/>
            </w:pPr>
            <w:r>
              <w:rPr>
                <w:sz w:val="20"/>
              </w:rPr>
              <w:t>create_time_series_chart()</w:t>
            </w:r>
          </w:p>
        </w:tc>
        <w:tc>
          <w:tcPr>
            <w:tcW w:w="5760" w:type="dxa"/>
            <w:shd w:val="clear" w:color="auto" w:fill="FFFFFF"/>
          </w:tcPr>
          <w:p w14:paraId="00100424" w14:textId="00100425">
            <w:pPr>
              <w:jc w:val="center"/>
            </w:pPr>
            <w:r>
              <w:rPr>
                <w:sz w:val="20"/>
              </w:rPr>
              <w:t>Plotly daily trend chart</w:t>
            </w:r>
          </w:p>
        </w:tc>
      </w:tr>
      <w:tr>
        <w:tc>
          <w:tcPr>
            <w:tcW w:w="4032" w:type="dxa"/>
            <w:shd w:val="clear" w:color="auto" w:fill="F0F4FA"/>
          </w:tcPr>
          <w:p w14:paraId="00100426" w14:textId="00100427">
            <w:pPr>
              <w:jc w:val="center"/>
            </w:pPr>
            <w:r>
              <w:rPr>
                <w:sz w:val="20"/>
              </w:rPr>
              <w:t>create_monthly_chart()</w:t>
            </w:r>
          </w:p>
        </w:tc>
        <w:tc>
          <w:tcPr>
            <w:tcW w:w="5760" w:type="dxa"/>
            <w:shd w:val="clear" w:color="auto" w:fill="F0F4FA"/>
          </w:tcPr>
          <w:p w14:paraId="00100428" w14:textId="00100429">
            <w:pPr>
              <w:jc w:val="center"/>
            </w:pPr>
            <w:r>
              <w:rPr>
                <w:sz w:val="20"/>
              </w:rPr>
              <w:t>Plotly monthly chart</w:t>
            </w:r>
          </w:p>
        </w:tc>
      </w:tr>
      <w:tr>
        <w:tc>
          <w:tcPr>
            <w:tcW w:w="4032" w:type="dxa"/>
            <w:shd w:val="clear" w:color="auto" w:fill="FFFFFF"/>
          </w:tcPr>
          <w:p w14:paraId="0010042A" w14:textId="0010042B">
            <w:pPr>
              <w:jc w:val="center"/>
            </w:pPr>
            <w:r>
              <w:rPr>
                <w:sz w:val="20"/>
              </w:rPr>
              <w:t>create_yearly_chart()</w:t>
            </w:r>
          </w:p>
        </w:tc>
        <w:tc>
          <w:tcPr>
            <w:tcW w:w="5760" w:type="dxa"/>
            <w:shd w:val="clear" w:color="auto" w:fill="FFFFFF"/>
          </w:tcPr>
          <w:p w14:paraId="0010042C" w14:textId="0010042D">
            <w:pPr>
              <w:jc w:val="center"/>
            </w:pPr>
            <w:r>
              <w:rPr>
                <w:sz w:val="20"/>
              </w:rPr>
              <w:t>Plotly yearly chart</w:t>
            </w:r>
          </w:p>
        </w:tc>
      </w:tr>
      <w:tr>
        <w:tc>
          <w:tcPr>
            <w:tcW w:w="4032" w:type="dxa"/>
            <w:shd w:val="clear" w:color="auto" w:fill="F0F4FA"/>
          </w:tcPr>
          <w:p w14:paraId="0010042E" w14:textId="0010042F">
            <w:pPr>
              <w:jc w:val="center"/>
            </w:pPr>
            <w:r>
              <w:rPr>
                <w:sz w:val="20"/>
              </w:rPr>
              <w:t>create_state_chart()</w:t>
            </w:r>
          </w:p>
        </w:tc>
        <w:tc>
          <w:tcPr>
            <w:tcW w:w="5760" w:type="dxa"/>
            <w:shd w:val="clear" w:color="auto" w:fill="F0F4FA"/>
          </w:tcPr>
          <w:p w14:paraId="00100430" w14:textId="00100431">
            <w:pPr>
              <w:jc w:val="center"/>
            </w:pPr>
            <w:r>
              <w:rPr>
                <w:sz w:val="20"/>
              </w:rPr>
              <w:t>Plotly entity comparison chart</w:t>
            </w:r>
          </w:p>
        </w:tc>
      </w:tr>
      <w:tr>
        <w:tc>
          <w:tcPr>
            <w:tcW w:w="4032" w:type="dxa"/>
            <w:shd w:val="clear" w:color="auto" w:fill="FFFFFF"/>
          </w:tcPr>
          <w:p w14:paraId="00100432" w14:textId="00100433">
            <w:pPr>
              <w:jc w:val="center"/>
            </w:pPr>
            <w:r>
              <w:rPr>
                <w:sz w:val="20"/>
              </w:rPr>
              <w:t>create_anomaly_chart()</w:t>
            </w:r>
          </w:p>
        </w:tc>
        <w:tc>
          <w:tcPr>
            <w:tcW w:w="5760" w:type="dxa"/>
            <w:shd w:val="clear" w:color="auto" w:fill="FFFFFF"/>
          </w:tcPr>
          <w:p w14:paraId="00100434" w14:textId="00100435">
            <w:pPr>
              <w:jc w:val="center"/>
            </w:pPr>
            <w:r>
              <w:rPr>
                <w:sz w:val="20"/>
              </w:rPr>
              <w:t>Plotly anomaly chart</w:t>
            </w:r>
          </w:p>
        </w:tc>
      </w:tr>
      <w:tr>
        <w:tc>
          <w:tcPr>
            <w:tcW w:w="4032" w:type="dxa"/>
            <w:shd w:val="clear" w:color="auto" w:fill="F0F4FA"/>
          </w:tcPr>
          <w:p w14:paraId="00100436" w14:textId="00100437">
            <w:pPr>
              <w:jc w:val="center"/>
            </w:pPr>
            <w:r>
              <w:rPr>
                <w:sz w:val="20"/>
              </w:rPr>
              <w:t>create_entity_anomaly_chart()</w:t>
            </w:r>
          </w:p>
        </w:tc>
        <w:tc>
          <w:tcPr>
            <w:tcW w:w="5760" w:type="dxa"/>
            <w:shd w:val="clear" w:color="auto" w:fill="F0F4FA"/>
          </w:tcPr>
          <w:p w14:paraId="00100438" w14:textId="00100439">
            <w:pPr>
              <w:jc w:val="center"/>
            </w:pPr>
            <w:r>
              <w:rPr>
                <w:sz w:val="20"/>
              </w:rPr>
              <w:t>Plotly entity anomaly chart</w:t>
            </w:r>
          </w:p>
        </w:tc>
      </w:tr>
      <w:tr>
        <w:tc>
          <w:tcPr>
            <w:tcW w:w="4032" w:type="dxa"/>
            <w:shd w:val="clear" w:color="auto" w:fill="FFFFFF"/>
          </w:tcPr>
          <w:p w14:paraId="0010043A" w14:textId="0010043B">
            <w:pPr>
              <w:jc w:val="center"/>
            </w:pPr>
            <w:r>
              <w:rPr>
                <w:sz w:val="20"/>
              </w:rPr>
              <w:t>create_forecast_chart()</w:t>
            </w:r>
          </w:p>
        </w:tc>
        <w:tc>
          <w:tcPr>
            <w:tcW w:w="5760" w:type="dxa"/>
            <w:shd w:val="clear" w:color="auto" w:fill="FFFFFF"/>
          </w:tcPr>
          <w:p w14:paraId="0010043C" w14:textId="0010043D">
            <w:pPr>
              <w:jc w:val="center"/>
            </w:pPr>
            <w:r>
              <w:rPr>
                <w:sz w:val="20"/>
              </w:rPr>
              <w:t>Plotly forecast chart</w:t>
            </w:r>
          </w:p>
        </w:tc>
      </w:tr>
      <w:tr>
        <w:tc>
          <w:tcPr>
            <w:tcW w:w="4032" w:type="dxa"/>
            <w:shd w:val="clear" w:color="auto" w:fill="F0F4FA"/>
          </w:tcPr>
          <w:p w14:paraId="0010043E" w14:textId="0010043F">
            <w:pPr>
              <w:jc w:val="center"/>
            </w:pPr>
            <w:r>
              <w:rPr>
                <w:sz w:val="20"/>
              </w:rPr>
              <w:t>main()</w:t>
            </w:r>
          </w:p>
        </w:tc>
        <w:tc>
          <w:tcPr>
            <w:tcW w:w="5760" w:type="dxa"/>
            <w:shd w:val="clear" w:color="auto" w:fill="F0F4FA"/>
          </w:tcPr>
          <w:p w14:paraId="00100440" w14:textId="00100441">
            <w:pPr>
              <w:jc w:val="center"/>
            </w:pPr>
            <w:r>
              <w:rPr>
                <w:sz w:val="20"/>
              </w:rPr>
              <w:t>Streamlit dashboard entry point</w:t>
            </w:r>
          </w:p>
        </w:tc>
      </w:tr>
    </w:tbl>
    <w:p w14:paraId="00100442" w14:textId="00100443">
      <w:pPr>
        <w:spacing w:after="120"/>
      </w:pPr>
    </w:p>
    <w:p w14:paraId="00100444" w14:textId="00100445">
      <w:pPr>
        <w:spacing w:before="80" w:after="80"/>
        <w:pBdr>
          <w:bottom w:val="single" w:color="CCCCCC" w:sz="4" w:space="1"/>
        </w:pBdr>
      </w:pPr>
    </w:p>
    <w:p w14:paraId="00100446" w14:textId="00100447">
      <w:pPr>
        <w:pStyle w:val="Heading1"/>
      </w:pPr>
      <w:r>
        <w:rPr>
          <w:b/>
          <w:color w:val="1A538E"/>
          <w:sz w:val="28"/>
        </w:rPr>
        <w:t>20. Installation and Execution</w:t>
      </w:r>
    </w:p>
    <w:p w14:paraId="00100448" w14:textId="00100449">
      <w:pPr>
        <w:spacing w:before="0" w:after="80"/>
      </w:pPr>
      <w:r>
        <w:rPr>
          <w:b w:val="0"/>
          <w:sz w:val="21"/>
        </w:rPr>
        <w:t>Prerequisites: Python 3.8 or higher, pip, the raw CSV in the same directory as the Python file.</w:t>
      </w:r>
    </w:p>
    <w:p w14:paraId="0010044A" w14:textId="0010044B">
      <w:pPr>
        <w:pStyle w:val="ListBullet"/>
        <w:spacing w:after="80"/>
      </w:pPr>
      <w:r>
        <w:rPr>
          <w:b/>
          <w:sz w:val="21"/>
        </w:rPr>
        <w:t xml:space="preserve">Step 1 — </w:t>
      </w:r>
      <w:r>
        <w:rPr>
          <w:sz w:val="21"/>
        </w:rPr>
        <w:t>Clone or download the project files into a local directory.</w:t>
      </w:r>
    </w:p>
    <w:p w14:paraId="0010044C" w14:textId="0010044D">
      <w:pPr>
        <w:pStyle w:val="ListBullet"/>
        <w:spacing w:after="80"/>
      </w:pPr>
      <w:r>
        <w:rPr>
          <w:b/>
          <w:sz w:val="21"/>
        </w:rPr>
        <w:t xml:space="preserve">Step 2 — </w:t>
      </w:r>
      <w:r>
        <w:rPr>
          <w:sz w:val="21"/>
        </w:rPr>
        <w:t>Install dependencies:      pip install -r requirements.txt</w:t>
      </w:r>
    </w:p>
    <w:p w14:paraId="0010044E" w14:textId="001004A2">
      <w:pPr>
        <w:pStyle w:val="ListBullet"/>
        <w:spacing w:after="80"/>
      </w:pPr>
      <w:r>
        <w:rPr>
          <w:b/>
          <w:sz w:val="21"/>
        </w:rPr>
        <w:t xml:space="preserve">Step 3 — </w:t>
      </w:r>
      <w:r>
        <w:rPr>
          <w:sz w:val="21"/>
        </w:rPr>
        <w:t xml:space="preserve">Launch the dashboard:      streamlit run Magham_kalyani_India_Electricity_Analysis.py</w:t>
      </w:r>
    </w:p>
    <w:p w14:paraId="00100450" w14:textId="00100451">
      <w:pPr>
        <w:pStyle w:val="ListBullet"/>
        <w:spacing w:after="80"/>
      </w:pPr>
      <w:r>
        <w:rPr>
          <w:b/>
          <w:sz w:val="21"/>
        </w:rPr>
        <w:t xml:space="preserve">Step 4 — </w:t>
      </w:r>
      <w:r>
        <w:rPr>
          <w:sz w:val="21"/>
        </w:rPr>
        <w:t>Streamlit opens the dashboard at http://localhost:8501. Use the sidebar to navigate the six sections.</w:t>
      </w:r>
    </w:p>
    <w:p w14:paraId="00100452" w14:textId="00100453">
      <w:pPr>
        <w:spacing w:before="0" w:after="80"/>
      </w:pPr>
      <w:r>
        <w:rPr>
          <w:b w:val="0"/>
          <w:color w:val="646464"/>
          <w:sz w:val="20"/>
        </w:rPr>
        <w:t>Note: The first load takes approximately 10–15 seconds as the Holt-Winters model trains on 3,707 rows. Subsequent interactions use @st.cache_data and respond immediately.</w:t>
      </w:r>
    </w:p>
    <w:p w14:paraId="00100454" w14:textId="00100455">
      <w:pPr>
        <w:spacing w:before="80" w:after="80"/>
        <w:pBdr>
          <w:bottom w:val="single" w:color="CCCCCC" w:sz="4" w:space="1"/>
        </w:pBdr>
      </w:pPr>
    </w:p>
    <w:p w14:paraId="00100456" w14:textId="00100457">
      <w:pPr>
        <w:pStyle w:val="Heading1"/>
      </w:pPr>
      <w:r>
        <w:rPr>
          <w:b/>
          <w:color w:val="1A538E"/>
          <w:sz w:val="28"/>
        </w:rPr>
        <w:t>21. Conclusion</w:t>
      </w:r>
    </w:p>
    <w:p w14:paraId="00100458" w14:textId="00100459">
      <w:pPr>
        <w:spacing w:before="0" w:after="80"/>
      </w:pPr>
      <w:r>
        <w:rPr>
          <w:b w:val="0"/>
          <w:sz w:val="22"/>
        </w:rPr>
        <w:t>This project demonstrates a complete, end-to-end data analytics workflow applied to a real-world, publicly available dataset of national importance. Starting from a raw CSV with data quality issues, the project delivers cleaned data, multi-level exploratory analysis, statistically grounded anomaly detection, a validated time-series forecast, and an interactive dashboard — all within a single, well-structured Python file.</w:t>
      </w:r>
    </w:p>
    <w:p w14:paraId="0010045A" w14:textId="0010045B">
      <w:pPr>
        <w:spacing w:before="0" w:after="80"/>
      </w:pPr>
      <w:r>
        <w:rPr>
          <w:b/>
          <w:sz w:val="22"/>
        </w:rPr>
        <w:t>Key technical achievements:</w:t>
      </w:r>
    </w:p>
    <w:p w14:paraId="0010045C" w14:textId="0010045D">
      <w:pPr>
        <w:pStyle w:val="ListBullet"/>
        <w:spacing w:after="60"/>
      </w:pPr>
      <w:r>
        <w:rPr>
          <w:sz w:val="22"/>
        </w:rPr>
        <w:t>A documented, reproducible 8-step cleaning pipeline that handles missing dates, missing entity values, floating-point artefacts, and recalculated aggregates.</w:t>
      </w:r>
    </w:p>
    <w:p w14:paraId="0010045E" w14:textId="0010045F">
      <w:pPr>
        <w:pStyle w:val="ListBullet"/>
        <w:spacing w:after="60"/>
      </w:pPr>
      <w:r>
        <w:rPr>
          <w:sz w:val="22"/>
        </w:rPr>
        <w:t>Holt-Winters forecasting achieving MAPE 3.84% on a strict 90-day chronological holdout, confirming that the national consumption series follows a learnable seasonal-trend pattern.</w:t>
      </w:r>
    </w:p>
    <w:p w14:paraId="00100460" w14:textId="001004A5">
      <w:pPr>
        <w:pStyle w:val="ListBullet"/>
        <w:spacing w:after="60"/>
      </w:pPr>
      <w:r>
        <w:rPr>
          <w:sz w:val="22"/>
        </w:rPr>
        <w:t xml:space="preserve">IQR-based anomaly detection identifying 37 statistically unusual consumption days — all positive spikes above the upper IQR fence.</w:t>
      </w:r>
    </w:p>
    <w:p w14:paraId="00100462" w14:textId="00100463">
      <w:pPr>
        <w:pStyle w:val="ListBullet"/>
        <w:spacing w:after="60"/>
      </w:pPr>
      <w:r>
        <w:rPr>
          <w:sz w:val="22"/>
        </w:rPr>
        <w:t>An interactive Streamlit dashboard exposing all analysis layers (overview, entity analysis, anomaly detection, forecasting, data quality) to any user without requiring Python knowledge.</w:t>
      </w:r>
    </w:p>
    <w:p w14:paraId="00100464" w14:textId="00100465">
      <w:pPr>
        <w:spacing w:before="0" w:after="80"/>
      </w:pPr>
      <w:r>
        <w:rPr>
          <w:b w:val="0"/>
          <w:sz w:val="21"/>
        </w:rPr>
        <w:t>The observed patterns — sustained consumption growth, strong annual seasonality, and concentration of anomalous days in 2024 — are clearly visible in the data and are presented without unsupported causal claims. The project is suitable as a standalone Data Analyst portfolio piece and meets internship evaluation criteria.</w:t>
      </w:r>
    </w:p>
    <w:p w14:paraId="00100466" w14:textId="00100467">
      <w:pPr>
        <w:spacing w:before="80" w:after="80"/>
        <w:pBdr>
          <w:bottom w:val="single" w:color="CCCCCC" w:sz="4" w:space="1"/>
        </w:pBdr>
      </w:pPr>
    </w:p>
    <w:p w14:paraId="00100468" w14:textId="00100469">
      <w:pPr>
        <w:pStyle w:val="Heading1"/>
      </w:pPr>
      <w:r>
        <w:rPr>
          <w:b/>
          <w:color w:val="1A538E"/>
          <w:sz w:val="28"/>
        </w:rPr>
        <w:t>22. Data Source and Attribution</w:t>
      </w:r>
    </w:p>
    <w:tbl>
      <w:tblPr>
        <w:tblStyle w:val="TableGrid"/>
        <w:tblW w:w="0" w:type="auto"/>
        <w:jc w:val="center"/>
        <w:tblLook w:val="04A0" w:firstRow="1" w:lastRow="0" w:firstColumn="1" w:lastColumn="0" w:noHBand="0" w:noVBand="1"/>
      </w:tblPr>
      <w:tblGrid>
        <w:gridCol w:w="4703"/>
        <w:gridCol w:w="4703"/>
      </w:tblGrid>
      <w:tr>
        <w:tc>
          <w:tcPr>
            <w:tcW w:w="4320" w:type="dxa"/>
            <w:shd w:val="clear" w:color="auto" w:fill="EBF3FB"/>
          </w:tcPr>
          <w:p w14:paraId="0010046A" w14:textId="0010046B">
            <w:r>
              <w:rPr>
                <w:b/>
                <w:sz w:val="21"/>
              </w:rPr>
              <w:t>Dataset Title</w:t>
            </w:r>
          </w:p>
        </w:tc>
        <w:tc>
          <w:tcPr>
            <w:tcW w:w="4320" w:type="dxa"/>
            <w:shd w:val="clear" w:color="auto" w:fill="EBF3FB"/>
          </w:tcPr>
          <w:p w14:paraId="0010046C" w14:textId="0010046D">
            <w:pPr>
              <w:jc w:val="center"/>
            </w:pPr>
            <w:r>
              <w:rPr>
                <w:sz w:val="21"/>
              </w:rPr>
              <w:t>State-wise Electricity Consumption in India</w:t>
            </w:r>
          </w:p>
        </w:tc>
      </w:tr>
      <w:tr>
        <w:tc>
          <w:tcPr>
            <w:tcW w:w="4320" w:type="dxa"/>
            <w:shd w:val="clear" w:color="auto" w:fill="FFFFFF"/>
          </w:tcPr>
          <w:p w14:paraId="0010046E" w14:textId="0010046F">
            <w:r>
              <w:rPr>
                <w:b/>
                <w:sz w:val="21"/>
              </w:rPr>
              <w:t>File Name</w:t>
            </w:r>
          </w:p>
        </w:tc>
        <w:tc>
          <w:tcPr>
            <w:tcW w:w="4320" w:type="dxa"/>
            <w:shd w:val="clear" w:color="auto" w:fill="FFFFFF"/>
          </w:tcPr>
          <w:p w14:paraId="00100470" w14:textId="00100471">
            <w:pPr>
              <w:jc w:val="center"/>
            </w:pPr>
            <w:r>
              <w:rPr>
                <w:sz w:val="21"/>
              </w:rPr>
              <w:t>Indias_Electricity_Consumption_Dataset.csv</w:t>
            </w:r>
          </w:p>
        </w:tc>
      </w:tr>
      <w:tr>
        <w:tc>
          <w:tcPr>
            <w:tcW w:w="4320" w:type="dxa"/>
            <w:shd w:val="clear" w:color="auto" w:fill="EBF3FB"/>
          </w:tcPr>
          <w:p w14:paraId="00100472" w14:textId="00100473">
            <w:r>
              <w:rPr>
                <w:b/>
                <w:sz w:val="21"/>
              </w:rPr>
              <w:t>Platform</w:t>
            </w:r>
          </w:p>
        </w:tc>
        <w:tc>
          <w:tcPr>
            <w:tcW w:w="4320" w:type="dxa"/>
            <w:shd w:val="clear" w:color="auto" w:fill="EBF3FB"/>
          </w:tcPr>
          <w:p w14:paraId="00100474" w14:textId="00100475">
            <w:pPr>
              <w:jc w:val="center"/>
            </w:pPr>
            <w:r>
              <w:rPr>
                <w:sz w:val="21"/>
              </w:rPr>
              <w:t>Kaggle</w:t>
            </w:r>
          </w:p>
        </w:tc>
      </w:tr>
      <w:tr>
        <w:tc>
          <w:tcPr>
            <w:tcW w:w="4320" w:type="dxa"/>
            <w:shd w:val="clear" w:color="auto" w:fill="FFFFFF"/>
          </w:tcPr>
          <w:p w14:paraId="00100476" w14:textId="00100477">
            <w:r>
              <w:rPr>
                <w:b/>
                <w:sz w:val="21"/>
              </w:rPr>
              <w:t>URL</w:t>
            </w:r>
          </w:p>
        </w:tc>
        <w:tc>
          <w:tcPr>
            <w:tcW w:w="4320" w:type="dxa"/>
            <w:shd w:val="clear" w:color="auto" w:fill="FFFFFF"/>
          </w:tcPr>
          <w:p w14:paraId="00100478" w14:textId="00100479">
            <w:pPr>
              <w:jc w:val="center"/>
            </w:pPr>
            <w:r>
              <w:rPr>
                <w:sz w:val="21"/>
              </w:rPr>
              <w:t>https://www.kaggle.com/datasets/aryankhurana1701/state-wise-electricity-consumption-in-india</w:t>
            </w:r>
          </w:p>
        </w:tc>
      </w:tr>
      <w:tr>
        <w:tc>
          <w:tcPr>
            <w:tcW w:w="4320" w:type="dxa"/>
            <w:shd w:val="clear" w:color="auto" w:fill="EBF3FB"/>
          </w:tcPr>
          <w:p w14:paraId="0010047A" w14:textId="0010047B">
            <w:r>
              <w:rPr>
                <w:b/>
                <w:sz w:val="21"/>
              </w:rPr>
              <w:t>Uploaded By</w:t>
            </w:r>
          </w:p>
        </w:tc>
        <w:tc>
          <w:tcPr>
            <w:tcW w:w="4320" w:type="dxa"/>
            <w:shd w:val="clear" w:color="auto" w:fill="EBF3FB"/>
          </w:tcPr>
          <w:p w14:paraId="0010047C" w14:textId="0010047D">
            <w:pPr>
              <w:jc w:val="center"/>
            </w:pPr>
            <w:r>
              <w:rPr>
                <w:sz w:val="21"/>
              </w:rPr>
              <w:t>Aryan Khurana (aryankhurana1701)</w:t>
            </w:r>
          </w:p>
        </w:tc>
      </w:tr>
      <w:tr>
        <w:tc>
          <w:tcPr>
            <w:tcW w:w="4320" w:type="dxa"/>
            <w:shd w:val="clear" w:color="auto" w:fill="FFFFFF"/>
          </w:tcPr>
          <w:p w14:paraId="0010047E" w14:textId="0010047F">
            <w:r>
              <w:rPr>
                <w:b/>
                <w:sz w:val="21"/>
              </w:rPr>
              <w:t>Underlying Source</w:t>
            </w:r>
          </w:p>
        </w:tc>
        <w:tc>
          <w:tcPr>
            <w:tcW w:w="4320" w:type="dxa"/>
            <w:shd w:val="clear" w:color="auto" w:fill="FFFFFF"/>
          </w:tcPr>
          <w:p w14:paraId="00100480" w14:textId="00100481">
            <w:pPr>
              <w:jc w:val="center"/>
            </w:pPr>
            <w:r>
              <w:rPr>
                <w:sz w:val="21"/>
              </w:rPr>
              <w:t>POSOCO – Power System Operation Corporation of India</w:t>
            </w:r>
          </w:p>
        </w:tc>
      </w:tr>
      <w:tr>
        <w:tc>
          <w:tcPr>
            <w:tcW w:w="4320" w:type="dxa"/>
            <w:shd w:val="clear" w:color="auto" w:fill="EBF3FB"/>
          </w:tcPr>
          <w:p w14:paraId="00100482" w14:textId="00100483">
            <w:r>
              <w:rPr>
                <w:b/>
                <w:sz w:val="21"/>
              </w:rPr>
              <w:t>Coverage</w:t>
            </w:r>
          </w:p>
        </w:tc>
        <w:tc>
          <w:tcPr>
            <w:tcW w:w="4320" w:type="dxa"/>
            <w:shd w:val="clear" w:color="auto" w:fill="EBF3FB"/>
          </w:tcPr>
          <w:p w14:paraId="00100484" w14:textId="00100485">
            <w:pPr>
              <w:jc w:val="center"/>
            </w:pPr>
            <w:r>
              <w:rPr>
                <w:sz w:val="21"/>
              </w:rPr>
              <w:t>2013-01-06 to 2024-09-29  |  Daily  |  3,707 observations</w:t>
            </w:r>
          </w:p>
        </w:tc>
      </w:tr>
      <w:tr>
        <w:tc>
          <w:tcPr>
            <w:tcW w:w="4320" w:type="dxa"/>
            <w:shd w:val="clear" w:color="auto" w:fill="FFFFFF"/>
          </w:tcPr>
          <w:p w14:paraId="00100486" w14:textId="00100487">
            <w:r>
              <w:rPr>
                <w:b/>
                <w:sz w:val="21"/>
              </w:rPr>
              <w:t>Unit</w:t>
            </w:r>
          </w:p>
        </w:tc>
        <w:tc>
          <w:tcPr>
            <w:tcW w:w="4320" w:type="dxa"/>
            <w:shd w:val="clear" w:color="auto" w:fill="FFFFFF"/>
          </w:tcPr>
          <w:p w14:paraId="00100488" w14:textId="00100489">
            <w:pPr>
              <w:jc w:val="center"/>
            </w:pPr>
            <w:r>
              <w:rPr>
                <w:sz w:val="21"/>
              </w:rPr>
              <w:t>MU (Million Units, equivalent to GWh)</w:t>
            </w:r>
          </w:p>
        </w:tc>
      </w:tr>
      <w:tr>
        <w:tc>
          <w:tcPr>
            <w:tcW w:w="4320" w:type="dxa"/>
            <w:shd w:val="clear" w:color="auto" w:fill="EBF3FB"/>
          </w:tcPr>
          <w:p w14:paraId="0010048A" w14:textId="0010048B">
            <w:r>
              <w:rPr>
                <w:b/>
                <w:sz w:val="21"/>
              </w:rPr>
              <w:t>Usage</w:t>
            </w:r>
          </w:p>
        </w:tc>
        <w:tc>
          <w:tcPr>
            <w:tcW w:w="4320" w:type="dxa"/>
            <w:shd w:val="clear" w:color="auto" w:fill="EBF3FB"/>
          </w:tcPr>
          <w:p w14:paraId="0010048C" w14:textId="0010048D">
            <w:pPr>
              <w:jc w:val="center"/>
            </w:pPr>
            <w:r>
              <w:rPr>
                <w:sz w:val="21"/>
              </w:rPr>
              <w:t>Educational and portfolio purposes only. Raw CSV not modified.</w:t>
            </w:r>
          </w:p>
        </w:tc>
      </w:tr>
    </w:tbl>
    <w:p w14:paraId="0010048E" w14:textId="0010048F">
      <w:pPr>
        <w:spacing w:after="120"/>
      </w:pPr>
    </w:p>
    <w:p w14:paraId="00100490" w14:textId="00100491">
      <w:pPr>
        <w:spacing w:before="80" w:after="80"/>
        <w:pBdr>
          <w:bottom w:val="single" w:color="CCCCCC" w:sz="4" w:space="1"/>
        </w:pBdr>
      </w:pPr>
    </w:p>
    <w:p w14:paraId="00100492" w14:textId="00100493">
      <w:pPr>
        <w:jc w:val="center"/>
      </w:pPr>
      <w:r>
        <w:rPr>
          <w:color w:val="CCCCCC"/>
        </w:rPr>
        <w:t>─────────────────────────────────────────────────────────────────────</w:t>
      </w:r>
    </w:p>
    <w:p w14:paraId="00100494" w14:textId="00100495">
      <w:pPr>
        <w:jc w:val="center"/>
      </w:pPr>
      <w:r>
        <w:rPr>
          <w:b/>
          <w:color w:val="444444"/>
          <w:sz w:val="22"/>
        </w:rPr>
        <w:t>End of Report</w:t>
      </w:r>
    </w:p>
    <w:p w14:paraId="00100496" w14:textId="00100497">
      <w:pPr>
        <w:jc w:val="center"/>
      </w:pPr>
      <w:r>
        <w:rPr>
          <w:color w:val="888888"/>
          <w:sz w:val="19"/>
        </w:rPr>
        <w:t>India Electricity Consumption Analysis &amp; Forecasting  |  Data Analyst Internship Project  |  2024</w:t>
      </w:r>
    </w:p>
    <w:sectPr w:rsidRPr="0006063C" w:rsidR="00FC693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2026-09-21T09:43:31Z</vt:lpwstr>
  </op:property>
</op:Properties>
</file>