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CORP VENDOR CONTRACT</w:t>
      </w:r>
    </w:p>
    <w:p>
      <w:pPr>
        <w:pStyle w:val="Heading1"/>
      </w:pPr>
      <w:r>
        <w:t>Termination Clauses</w:t>
      </w:r>
    </w:p>
    <w:p>
      <w:r>
        <w:t>Either party may terminate this agreement by providing at least 60 days written notice to the other party. Failure to provide adequate notice results in a standard $5,000 baseline penalty.</w:t>
      </w:r>
    </w:p>
    <w:p>
      <w:pPr>
        <w:pStyle w:val="Heading1"/>
      </w:pPr>
      <w:r>
        <w:t>Service Level Agreement (SLA)</w:t>
      </w:r>
    </w:p>
    <w:p>
      <w:r>
        <w:t>The vendor guarantees a system uptime SLA metric of 99.9%. Major support tickets must be acknowledged and answered within 4 business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