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External Data Policy</w:t>
      </w:r>
    </w:p>
    <w:p>
      <w:pPr>
        <w:jc w:val="center"/>
      </w:pPr>
      <w:r>
        <w:t>Public comparator inputs</w:t>
      </w:r>
    </w:p>
    <w:p>
      <w:pPr>
        <w:pStyle w:val="Heading1"/>
      </w:pPr>
      <w:r>
        <w:t>Purpose</w:t>
      </w:r>
    </w:p>
    <w:p>
      <w:r>
        <w:t>Place downloaded public data here for private analysis or documented reproducible retrieval.</w:t>
      </w:r>
    </w:p>
    <w:p>
      <w:pPr>
        <w:pStyle w:val="Heading1"/>
      </w:pPr>
      <w:r>
        <w:t>Examples</w:t>
      </w:r>
    </w:p>
    <w:p>
      <w:pPr>
        <w:pStyle w:val="ListBullet"/>
      </w:pPr>
      <w:r>
        <w:t>• GDSC1 fitted dose-response files</w:t>
      </w:r>
    </w:p>
    <w:p>
      <w:pPr>
        <w:pStyle w:val="ListBullet"/>
      </w:pPr>
      <w:r>
        <w:t>• CCLE/DepMap expression files</w:t>
      </w:r>
    </w:p>
    <w:p>
      <w:pPr>
        <w:pStyle w:val="ListBullet"/>
      </w:pPr>
      <w:r>
        <w:t>• Model.csv crosswalks</w:t>
      </w:r>
    </w:p>
    <w:p>
      <w:pPr>
        <w:pStyle w:val="ListBullet"/>
      </w:pPr>
      <w:r>
        <w:t>• CellMiner or CTRP exports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